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spacing w:before="0" w:after="200"/>
        <w:jc w:val="right"/>
        <w:rPr>
          <w:lang w:val="pl-PL" w:eastAsia="zh-CN" w:bidi="hi-IN"/>
        </w:rPr>
      </w:pPr>
      <w:r>
        <w:rPr>
          <w:lang w:val="pl-PL" w:eastAsia="zh-CN" w:bidi="hi-IN"/>
        </w:rPr>
        <w:t>Załącznik do Zarządzenia Nr ........ / 2026</w:t>
      </w:r>
    </w:p>
    <w:p>
      <w:pPr>
        <w:pStyle w:val="Normal1"/>
        <w:spacing w:lineRule="auto" w:line="240" w:before="480" w:after="200"/>
        <w:jc w:val="center"/>
        <w:rPr>
          <w:lang w:val="pl-PL" w:eastAsia="zh-CN" w:bidi="hi-IN"/>
        </w:rPr>
      </w:pPr>
      <w:r>
        <w:rPr>
          <w:b/>
          <w:bCs/>
          <w:sz w:val="28"/>
          <w:szCs w:val="28"/>
          <w:lang w:val="pl-PL" w:eastAsia="zh-CN" w:bidi="hi-IN"/>
        </w:rPr>
        <w:t>ANEKS NR 1</w:t>
        <w:br/>
        <w:t>z dnia 26.08.2026 r.</w:t>
        <w:br/>
        <w:t>do Standardów Ochrony Małoletnich w Przedszkolu Publicznym Nr 1</w:t>
        <w:br/>
        <w:t>z Oddziałami Integracyjnymi w Ożarowie Mazowieckim</w:t>
      </w:r>
    </w:p>
    <w:p>
      <w:pPr>
        <w:pStyle w:val="Normal1"/>
        <w:jc w:val="both"/>
        <w:rPr>
          <w:lang w:val="pl-PL" w:eastAsia="zh-CN" w:bidi="hi-IN"/>
        </w:rPr>
      </w:pPr>
      <w:r>
        <w:rPr>
          <w:lang w:val="pl-PL" w:eastAsia="zh-CN" w:bidi="hi-IN"/>
        </w:rPr>
        <w:t>Działając na podstawie przepisów ustawy z dnia 13 maja 2016 r. o przeciwdziałaniu zagrożeniom przestępczością na tle seksualnym i ochronie małoletnich, Dyrektor Przedszkola wprowadza następujące zmiany w dokumencie „Standardy Ochrony Małoletnich” (wprowadzonym Zarządzeniem nr 2/2024 z dnia 1 lutego 2024 r.):</w:t>
      </w:r>
    </w:p>
    <w:p>
      <w:pPr>
        <w:pStyle w:val="Normal1"/>
        <w:jc w:val="center"/>
        <w:rPr>
          <w:lang w:val="pl-PL" w:eastAsia="zh-CN" w:bidi="hi-IN"/>
        </w:rPr>
      </w:pPr>
      <w:r>
        <w:rPr>
          <w:b/>
          <w:bCs/>
          <w:lang w:val="pl-PL" w:eastAsia="zh-CN" w:bidi="hi-IN"/>
        </w:rPr>
        <w:t>§ 1</w:t>
      </w:r>
    </w:p>
    <w:p>
      <w:pPr>
        <w:pStyle w:val="Normal1"/>
        <w:jc w:val="both"/>
        <w:rPr>
          <w:lang w:val="pl-PL" w:eastAsia="zh-CN" w:bidi="hi-IN"/>
        </w:rPr>
      </w:pPr>
      <w:r>
        <w:rPr>
          <w:lang w:val="pl-PL" w:eastAsia="zh-CN" w:bidi="hi-IN"/>
        </w:rPr>
        <w:t>W treści Standardów Ochrony Małoletnich wprowadza się następujące modyfikacje                     i uzupełnienia:</w:t>
      </w:r>
    </w:p>
    <w:p>
      <w:pPr>
        <w:pStyle w:val="Normal1"/>
        <w:spacing w:lineRule="auto" w:line="276" w:before="0" w:after="0"/>
        <w:ind w:hanging="0" w:left="0"/>
        <w:jc w:val="both"/>
        <w:rPr>
          <w:lang w:val="pl-PL" w:eastAsia="zh-CN" w:bidi="hi-IN"/>
        </w:rPr>
      </w:pPr>
      <w:r>
        <w:rPr>
          <w:b/>
          <w:bCs/>
          <w:lang w:val="pl-PL" w:eastAsia="zh-CN" w:bidi="hi-IN"/>
        </w:rPr>
        <w:t>1. W części zatytułowanej „Podstawy prawne” na stronie 1 Standardów, punkty od 1 do 6 otrzymują nowe, zaktualizowane brzmienie:</w:t>
      </w:r>
    </w:p>
    <w:p>
      <w:pPr>
        <w:pStyle w:val="Normal1"/>
        <w:spacing w:lineRule="auto" w:line="276" w:before="0" w:after="0"/>
        <w:ind w:hanging="0" w:left="0"/>
        <w:jc w:val="left"/>
        <w:rPr>
          <w:lang w:val="pl-PL" w:eastAsia="zh-CN" w:bidi="hi-IN"/>
        </w:rPr>
      </w:pPr>
      <w:r>
        <w:rPr>
          <w:lang w:val="pl-PL" w:eastAsia="zh-CN" w:bidi="hi-IN"/>
        </w:rPr>
        <w:t>„</w:t>
      </w:r>
      <w:r>
        <w:rPr>
          <w:i/>
          <w:iCs/>
          <w:lang w:val="pl-PL" w:eastAsia="zh-CN" w:bidi="hi-IN"/>
        </w:rPr>
        <w:t>1. Ustawa z dnia 29 lipca 2005 r. o przeciwdziałaniu przemocy domowej                            (Dz.U. z 2024 r. poz. 424 z późn. zm.).</w:t>
        <w:br/>
        <w:t>2. Rozporządzenie Rady Ministrów z dnia 6 września 2023 r. w sprawie procedury „Niebieskie Karty” oraz wzorów formularzy „Niebieska Karta” (Dz.U. z 2023 r. poz. 1870).</w:t>
        <w:br/>
        <w:t>3. Ustawa z dnia 25 lutego 1964 r. – Kodeks rodzinny i opiekuńczy                                       (Dz.U. z 2023 r. poz. 2809 z późn. zm.).</w:t>
        <w:br/>
        <w:t xml:space="preserve">4. Ustawa z dnia 26 stycznia 1982 r. – Karta Nauczyciela (Dz.U. z 2026 r. poz. 515 z późn. zm.). </w:t>
        <w:br/>
        <w:t>5. Ustawa z dnia 14 grudnia 2016 r. – Prawo oświatowe (Dz.U. z 2026 r. poz. 820 z późn. zm.).</w:t>
      </w:r>
    </w:p>
    <w:p>
      <w:pPr>
        <w:pStyle w:val="Normal1"/>
        <w:spacing w:lineRule="auto" w:line="276" w:before="0" w:after="0"/>
        <w:ind w:hanging="0" w:left="0"/>
        <w:jc w:val="left"/>
        <w:rPr>
          <w:lang w:val="pl-PL" w:eastAsia="zh-CN" w:bidi="hi-IN"/>
        </w:rPr>
      </w:pPr>
      <w:r>
        <w:rPr>
          <w:i/>
          <w:iCs/>
          <w:lang w:val="pl-PL" w:eastAsia="zh-CN" w:bidi="hi-IN"/>
        </w:rPr>
        <w:t>6. Ustawa z dnia 10 maja 2018 r. o ochronie danych osobowych (Dz.U. z 2019 r. poz. 1781).</w:t>
      </w:r>
      <w:r>
        <w:rPr>
          <w:lang w:val="pl-PL" w:eastAsia="zh-CN" w:bidi="hi-IN"/>
        </w:rPr>
        <w:t>”</w:t>
      </w:r>
    </w:p>
    <w:p>
      <w:pPr>
        <w:pStyle w:val="Normal1"/>
        <w:spacing w:lineRule="auto" w:line="276" w:before="0" w:after="0"/>
        <w:ind w:hanging="0" w:left="0"/>
        <w:jc w:val="both"/>
        <w:rPr>
          <w:lang w:val="pl-PL" w:eastAsia="zh-CN" w:bidi="hi-IN"/>
        </w:rPr>
      </w:pPr>
      <w:r>
        <w:rPr>
          <w:lang w:val="pl-PL" w:eastAsia="zh-CN" w:bidi="hi-IN"/>
        </w:rPr>
      </w:r>
    </w:p>
    <w:p>
      <w:pPr>
        <w:pStyle w:val="Normal1"/>
        <w:ind w:hanging="0" w:left="0"/>
        <w:jc w:val="both"/>
        <w:rPr>
          <w:lang w:val="pl-PL" w:eastAsia="zh-CN" w:bidi="hi-IN"/>
        </w:rPr>
      </w:pPr>
      <w:r>
        <w:rPr>
          <w:b/>
          <w:bCs/>
          <w:lang w:val="pl-PL" w:eastAsia="zh-CN" w:bidi="hi-IN"/>
        </w:rPr>
        <w:t xml:space="preserve">2. </w:t>
      </w:r>
      <w:r>
        <w:rPr>
          <w:lang w:val="pl-PL" w:eastAsia="zh-CN" w:bidi="hi-IN"/>
        </w:rPr>
        <w:t xml:space="preserve">W </w:t>
      </w:r>
      <w:r>
        <w:rPr>
          <w:b/>
          <w:bCs/>
          <w:lang w:val="pl-PL" w:eastAsia="zh-CN" w:bidi="hi-IN"/>
        </w:rPr>
        <w:t>§ 10 ust. 2</w:t>
      </w:r>
      <w:r>
        <w:rPr>
          <w:lang w:val="pl-PL" w:eastAsia="zh-CN" w:bidi="hi-IN"/>
        </w:rPr>
        <w:t xml:space="preserve">  oraz w </w:t>
      </w:r>
      <w:r>
        <w:rPr>
          <w:b/>
          <w:bCs/>
          <w:lang w:val="pl-PL" w:eastAsia="zh-CN" w:bidi="hi-IN"/>
        </w:rPr>
        <w:t>nagłówku dotychczasowego Załącznika nr 1</w:t>
      </w:r>
      <w:r>
        <w:rPr>
          <w:lang w:val="pl-PL" w:eastAsia="zh-CN" w:bidi="hi-IN"/>
        </w:rPr>
        <w:t xml:space="preserve"> wprowadza się nowy wzór „Karty interwencji”, stanowiący nową treść Załącznika nr 1 do niniejszego Aneksu.</w:t>
      </w:r>
    </w:p>
    <w:p>
      <w:pPr>
        <w:pStyle w:val="Normal1"/>
        <w:ind w:hanging="0" w:left="0"/>
        <w:jc w:val="left"/>
        <w:rPr>
          <w:lang w:val="pl-PL" w:eastAsia="zh-CN" w:bidi="hi-IN"/>
        </w:rPr>
      </w:pPr>
      <w:r>
        <w:rPr>
          <w:b/>
          <w:bCs/>
          <w:lang w:val="pl-PL" w:eastAsia="zh-CN" w:bidi="hi-IN"/>
        </w:rPr>
        <w:t xml:space="preserve">3. </w:t>
      </w:r>
      <w:r>
        <w:rPr>
          <w:lang w:val="pl-PL" w:eastAsia="zh-CN" w:bidi="hi-IN"/>
        </w:rPr>
        <w:t xml:space="preserve">W </w:t>
      </w:r>
      <w:r>
        <w:rPr>
          <w:b/>
          <w:bCs/>
          <w:lang w:val="pl-PL" w:eastAsia="zh-CN" w:bidi="hi-IN"/>
        </w:rPr>
        <w:t>§ 13 ust. 3</w:t>
      </w:r>
      <w:r>
        <w:rPr>
          <w:lang w:val="pl-PL" w:eastAsia="zh-CN" w:bidi="hi-IN"/>
        </w:rPr>
        <w:t xml:space="preserve"> oraz w </w:t>
      </w:r>
      <w:r>
        <w:rPr>
          <w:b/>
          <w:bCs/>
          <w:lang w:val="pl-PL" w:eastAsia="zh-CN" w:bidi="hi-IN"/>
        </w:rPr>
        <w:t>nagłówku dotychczasowego Załącznika nr 5</w:t>
      </w:r>
      <w:r>
        <w:rPr>
          <w:lang w:val="pl-PL" w:eastAsia="zh-CN" w:bidi="hi-IN"/>
        </w:rPr>
        <w:t xml:space="preserve"> zmienia się nazwę załącznika, która otrzymuje brzmienie:</w:t>
        <w:br/>
      </w:r>
      <w:r>
        <w:rPr>
          <w:i/>
          <w:iCs/>
          <w:lang w:val="pl-PL" w:eastAsia="zh-CN" w:bidi="hi-IN"/>
        </w:rPr>
        <w:t>„Załącznik nr 5 do Standardów ochrony małoletnich – Monitoring do Standardów ochrony małoletnich – Ankieta dla pracowników”</w:t>
      </w:r>
      <w:r>
        <w:rPr>
          <w:lang w:val="pl-PL" w:eastAsia="zh-CN" w:bidi="hi-IN"/>
        </w:rPr>
        <w:t>.</w:t>
      </w:r>
    </w:p>
    <w:p>
      <w:pPr>
        <w:pStyle w:val="Normal1"/>
        <w:ind w:hanging="0" w:left="0"/>
        <w:jc w:val="left"/>
        <w:rPr>
          <w:lang w:val="pl-PL" w:eastAsia="zh-CN" w:bidi="hi-IN"/>
        </w:rPr>
      </w:pPr>
      <w:r>
        <w:rPr>
          <w:b/>
          <w:bCs/>
          <w:lang w:val="pl-PL" w:eastAsia="zh-CN" w:bidi="hi-IN"/>
        </w:rPr>
        <w:t xml:space="preserve">4. </w:t>
      </w:r>
      <w:r>
        <w:rPr>
          <w:lang w:val="pl-PL" w:eastAsia="zh-CN" w:bidi="hi-IN"/>
        </w:rPr>
        <w:t xml:space="preserve">W </w:t>
      </w:r>
      <w:r>
        <w:rPr>
          <w:b/>
          <w:bCs/>
          <w:lang w:val="pl-PL" w:eastAsia="zh-CN" w:bidi="hi-IN"/>
        </w:rPr>
        <w:t>Rozdziale 5</w:t>
      </w:r>
      <w:r>
        <w:rPr>
          <w:lang w:val="pl-PL" w:eastAsia="zh-CN" w:bidi="hi-IN"/>
        </w:rPr>
        <w:t xml:space="preserve"> po dotychczasowym </w:t>
      </w:r>
      <w:r>
        <w:rPr>
          <w:b/>
          <w:bCs/>
          <w:lang w:val="pl-PL" w:eastAsia="zh-CN" w:bidi="hi-IN"/>
        </w:rPr>
        <w:t>§ 13</w:t>
      </w:r>
      <w:r>
        <w:rPr>
          <w:lang w:val="pl-PL" w:eastAsia="zh-CN" w:bidi="hi-IN"/>
        </w:rPr>
        <w:t xml:space="preserve"> dodaje się nowy </w:t>
      </w:r>
      <w:r>
        <w:rPr>
          <w:b/>
          <w:bCs/>
          <w:lang w:val="pl-PL" w:eastAsia="zh-CN" w:bidi="hi-IN"/>
        </w:rPr>
        <w:t>§ 13a</w:t>
      </w:r>
      <w:r>
        <w:rPr>
          <w:lang w:val="pl-PL" w:eastAsia="zh-CN" w:bidi="hi-IN"/>
        </w:rPr>
        <w:t xml:space="preserve"> w następującym brzmieniu:</w:t>
        <w:br/>
      </w:r>
      <w:r>
        <w:rPr>
          <w:i/>
          <w:iCs/>
          <w:lang w:val="pl-PL" w:eastAsia="zh-CN" w:bidi="hi-IN"/>
        </w:rPr>
        <w:t>„§ 13a. 1. Wszelkie zmiany, poprawki oraz uzupełnienia w niniejszych Standardach wprowadzane są w drodze Aneksu, zatwierdzanego odpowiednim Zarządzeniem Dyrektora Przedszkola.</w:t>
        <w:br/>
        <w:t>2. Wniosek o wprowadzenie zmian w Standardach może złożyć Dyrektor Przedszkola z własnej inicjatywy, Psycholog lub Rada Pedagogiczna.</w:t>
        <w:br/>
        <w:t>3. Każda zmiana w Standardach wymaga formy pisemnej pod rygorem nieważności.</w:t>
        <w:br/>
        <w:t>4. Po wprowadzeniu zmian Dyrektor Przedszkola zapewnia niezwłoczne opublikowanie zaktualizowanego tekstu Standardów na stronie internetowej przedszkola oraz zapoznanie pracowników z nowymi zapisami.”</w:t>
      </w:r>
    </w:p>
    <w:p>
      <w:pPr>
        <w:pStyle w:val="Normal1"/>
        <w:spacing w:lineRule="auto" w:line="240" w:before="0" w:after="0"/>
        <w:ind w:hanging="0" w:left="0"/>
        <w:jc w:val="both"/>
        <w:rPr>
          <w:lang w:val="pl-PL" w:eastAsia="zh-CN" w:bidi="hi-IN"/>
        </w:rPr>
      </w:pPr>
      <w:r>
        <w:rPr>
          <w:b/>
          <w:bCs/>
          <w:lang w:val="pl-PL" w:eastAsia="zh-CN" w:bidi="hi-IN"/>
        </w:rPr>
        <w:t xml:space="preserve">5. </w:t>
      </w:r>
      <w:r>
        <w:rPr>
          <w:lang w:val="pl-PL" w:eastAsia="zh-CN" w:bidi="hi-IN"/>
        </w:rPr>
        <w:t xml:space="preserve">W </w:t>
      </w:r>
      <w:r>
        <w:rPr>
          <w:b/>
          <w:bCs/>
          <w:lang w:val="pl-PL" w:eastAsia="zh-CN" w:bidi="hi-IN"/>
        </w:rPr>
        <w:t>Rozdziale 3</w:t>
      </w:r>
      <w:r>
        <w:rPr>
          <w:lang w:val="pl-PL" w:eastAsia="zh-CN" w:bidi="hi-IN"/>
        </w:rPr>
        <w:t xml:space="preserve"> dotychczasowy tytuł rozdziału oraz cała treść </w:t>
      </w:r>
      <w:r>
        <w:rPr>
          <w:b/>
          <w:bCs/>
          <w:lang w:val="pl-PL" w:eastAsia="zh-CN" w:bidi="hi-IN"/>
        </w:rPr>
        <w:t>§ 8, § 9, § 10 i § 11</w:t>
      </w:r>
      <w:r>
        <w:rPr>
          <w:lang w:val="pl-PL" w:eastAsia="zh-CN" w:bidi="hi-IN"/>
        </w:rPr>
        <w:t xml:space="preserve"> zostają </w:t>
      </w:r>
      <w:r>
        <w:rPr>
          <w:b/>
          <w:bCs/>
          <w:lang w:val="pl-PL" w:eastAsia="zh-CN" w:bidi="hi-IN"/>
        </w:rPr>
        <w:t>uchylone</w:t>
      </w:r>
      <w:r>
        <w:rPr>
          <w:lang w:val="pl-PL" w:eastAsia="zh-CN" w:bidi="hi-IN"/>
        </w:rPr>
        <w:t xml:space="preserve">, a w ich miejsce wprowadza się nowy zapis w brzmieniu: </w:t>
      </w:r>
    </w:p>
    <w:p>
      <w:pPr>
        <w:pStyle w:val="Normal1"/>
        <w:ind w:hanging="0" w:left="0"/>
        <w:jc w:val="both"/>
        <w:rPr>
          <w:lang w:val="pl-PL" w:eastAsia="zh-CN" w:bidi="hi-IN"/>
        </w:rPr>
      </w:pPr>
      <w:r>
        <w:rPr>
          <w:i/>
          <w:iCs/>
          <w:lang w:val="pl-PL" w:eastAsia="zh-CN" w:bidi="hi-IN"/>
        </w:rPr>
        <w:t>„</w:t>
      </w:r>
      <w:r>
        <w:rPr>
          <w:i/>
          <w:iCs/>
          <w:lang w:val="pl-PL" w:eastAsia="zh-CN" w:bidi="hi-IN"/>
        </w:rPr>
        <w:t xml:space="preserve">Rozdział 3. Procedury interwencji w sytuacji podejrzenia krzywdzenia małoletniego                 w Przedszkolu Publicznym nr 1 z Oddziałami Integracyjnymi w Ożarowie Mazowieckim § 8. Wprowadza się niniejszym Zarządzeniem Dyrektora Przedszkola Nr ........ / 2026 z dnia 26.08.2026 r. kompletny dokument pt. „Procedury interwencji w sytuacji podejrzenia krzywdzenia małoletniego w Przedszkolu Publicznym nr 1 z Oddziałami Integracyjnymi              w Ożarowie Mazowieckim”, który stanowi odrębny, integralny Załącznik nr 8 do niniejszych Standardów.” </w:t>
      </w:r>
    </w:p>
    <w:p>
      <w:pPr>
        <w:pStyle w:val="Normal1"/>
        <w:ind w:hanging="0" w:left="0"/>
        <w:jc w:val="both"/>
        <w:rPr/>
      </w:pPr>
      <w:r>
        <w:rPr>
          <w:b/>
          <w:bCs/>
          <w:lang w:val="pl-PL" w:eastAsia="zh-CN" w:bidi="hi-IN"/>
        </w:rPr>
        <w:t xml:space="preserve">6. </w:t>
      </w:r>
      <w:r>
        <w:rPr>
          <w:lang w:val="pl-PL" w:eastAsia="zh-CN" w:bidi="hi-IN"/>
        </w:rPr>
        <w:t xml:space="preserve">W </w:t>
      </w:r>
      <w:r>
        <w:rPr>
          <w:b/>
          <w:bCs/>
          <w:lang w:val="pl-PL" w:eastAsia="zh-CN" w:bidi="hi-IN"/>
        </w:rPr>
        <w:t>Rozdziale 7</w:t>
      </w:r>
      <w:r>
        <w:rPr>
          <w:lang w:val="pl-PL" w:eastAsia="zh-CN" w:bidi="hi-IN"/>
        </w:rPr>
        <w:t xml:space="preserve"> dotychczasowy </w:t>
      </w:r>
      <w:r>
        <w:rPr>
          <w:b/>
          <w:bCs/>
          <w:lang w:val="pl-PL" w:eastAsia="zh-CN" w:bidi="hi-IN"/>
        </w:rPr>
        <w:t>§ 15</w:t>
      </w:r>
      <w:r>
        <w:rPr>
          <w:lang w:val="pl-PL" w:eastAsia="zh-CN" w:bidi="hi-IN"/>
        </w:rPr>
        <w:t xml:space="preserve"> otrzymuje nowe, następujące brzmienie:</w:t>
        <w:br/>
      </w:r>
      <w:r>
        <w:rPr>
          <w:i/>
          <w:iCs/>
          <w:lang w:val="pl-PL" w:eastAsia="zh-CN" w:bidi="hi-IN"/>
        </w:rPr>
        <w:t xml:space="preserve">„§ 15. 1. Niniejsze Standardy zostały umieszczone na stronie internetowej Przedszkola </w:t>
      </w:r>
      <w:r>
        <w:rPr>
          <w:lang w:val="pl-PL" w:eastAsia="zh-CN" w:bidi="hi-IN"/>
        </w:rPr>
        <w:t xml:space="preserve"> (</w:t>
      </w:r>
      <w:hyperlink r:id="rId2">
        <w:r>
          <w:rPr>
            <w:color w:val="1155CC"/>
            <w:u w:val="single"/>
            <w:lang w:val="pl-PL" w:eastAsia="zh-CN" w:bidi="hi-IN"/>
          </w:rPr>
          <w:t>DOKUMENTY PRZEDSZKOLNE : Przedszkole Publiczne nr 1 z Oddziałami Integracyjnymi w Ożarowie Mazowieckim</w:t>
        </w:r>
      </w:hyperlink>
      <w:r>
        <w:rPr>
          <w:lang w:val="pl-PL" w:eastAsia="zh-CN" w:bidi="hi-IN"/>
        </w:rPr>
        <w:t>)</w:t>
      </w:r>
      <w:r>
        <w:rPr>
          <w:i/>
          <w:iCs/>
          <w:lang w:val="pl-PL" w:eastAsia="zh-CN" w:bidi="hi-IN"/>
        </w:rPr>
        <w:t xml:space="preserve"> oraz na tablicach ogłoszeń w budynkach placówki.</w:t>
        <w:br/>
        <w:t>2. Wykaz pracowników wraz z ich numerami telefonów, godzinami pracy i adresami e-mail, jest stale dostępny i możliwy do sprawdzenia na stronie internetowej Przedszkola (</w:t>
      </w:r>
      <w:hyperlink r:id="rId3">
        <w:r>
          <w:rPr>
            <w:color w:val="1155CC"/>
            <w:u w:val="single"/>
            <w:lang w:val="pl-PL" w:eastAsia="zh-CN" w:bidi="hi-IN"/>
          </w:rPr>
          <w:t>Kontakt : Przedszkole Publiczne nr 1 z Oddziałami Integracyjnymi w Ożarowie Mazowieckim</w:t>
        </w:r>
      </w:hyperlink>
      <w:r>
        <w:rPr>
          <w:lang w:val="pl-PL" w:eastAsia="zh-CN" w:bidi="hi-IN"/>
        </w:rPr>
        <w:t>)</w:t>
      </w:r>
      <w:r>
        <w:rPr>
          <w:i/>
          <w:iCs/>
          <w:lang w:val="pl-PL" w:eastAsia="zh-CN" w:bidi="hi-IN"/>
        </w:rPr>
        <w:t>.</w:t>
        <w:br/>
        <w:t>3. Wszelkie zgłoszenia o incydentach lub podejrzeniu krzywdzenia małoletniego składa się osobiście w formie pisemnej lub ustnej do protokołu w siedzibie głównej Przedszkola lub w jego filii – w zależności od tego, do którego miejsca (budynku) fizycznie uczęszcza dziecko.</w:t>
        <w:br/>
        <w:t>4. Zgłoszenia przyjmowane są w godzinach pracy danej lokalizacji (siedziby głównej lub filii). Szczegółowe godziny pracy oraz dyżurów osób odpowiedzialnych są publikowane na stronie internetowej Przedszkola oraz wywieszone na tablicach informacyjnych w siedzibie głównej        i w filii.”</w:t>
      </w:r>
    </w:p>
    <w:p>
      <w:pPr>
        <w:pStyle w:val="Normal1"/>
        <w:spacing w:lineRule="auto" w:line="240" w:before="0" w:after="0"/>
        <w:ind w:hanging="0" w:left="0"/>
        <w:jc w:val="both"/>
        <w:rPr>
          <w:lang w:val="pl-PL" w:eastAsia="zh-CN" w:bidi="hi-IN"/>
        </w:rPr>
      </w:pPr>
      <w:r>
        <w:rPr>
          <w:b/>
          <w:bCs/>
          <w:lang w:val="pl-PL" w:eastAsia="zh-CN" w:bidi="hi-IN"/>
        </w:rPr>
        <w:t xml:space="preserve">7. </w:t>
      </w:r>
      <w:r>
        <w:rPr>
          <w:lang w:val="pl-PL" w:eastAsia="zh-CN" w:bidi="hi-IN"/>
        </w:rPr>
        <w:t xml:space="preserve">Na końcu dokumentu Standardów Ochrony Małoletnich dodaje się nowe załączniki: </w:t>
      </w:r>
      <w:r>
        <w:rPr>
          <w:b/>
          <w:bCs/>
          <w:lang w:val="pl-PL" w:eastAsia="zh-CN" w:bidi="hi-IN"/>
        </w:rPr>
        <w:t>Załącznik nr 6</w:t>
      </w:r>
      <w:r>
        <w:rPr>
          <w:lang w:val="pl-PL" w:eastAsia="zh-CN" w:bidi="hi-IN"/>
        </w:rPr>
        <w:t xml:space="preserve"> Wzór ankiety dla rodziców,</w:t>
      </w:r>
    </w:p>
    <w:p>
      <w:pPr>
        <w:pStyle w:val="Normal1"/>
        <w:spacing w:lineRule="auto" w:line="240" w:before="0" w:after="0"/>
        <w:ind w:hanging="0" w:left="0"/>
        <w:jc w:val="both"/>
        <w:rPr>
          <w:lang w:val="pl-PL" w:eastAsia="zh-CN" w:bidi="hi-IN"/>
        </w:rPr>
      </w:pPr>
      <w:r>
        <w:rPr>
          <w:b/>
          <w:bCs/>
          <w:lang w:val="pl-PL" w:eastAsia="zh-CN" w:bidi="hi-IN"/>
        </w:rPr>
        <w:t>Załącznik nr 7</w:t>
      </w:r>
      <w:r>
        <w:rPr>
          <w:lang w:val="pl-PL" w:eastAsia="zh-CN" w:bidi="hi-IN"/>
        </w:rPr>
        <w:t xml:space="preserve"> Rejestr incydentów i interwencji,</w:t>
      </w:r>
    </w:p>
    <w:p>
      <w:pPr>
        <w:pStyle w:val="Normal1"/>
        <w:spacing w:lineRule="auto" w:line="240" w:before="0" w:after="0"/>
        <w:ind w:hanging="0" w:left="0"/>
        <w:jc w:val="both"/>
        <w:rPr>
          <w:lang w:val="pl-PL" w:eastAsia="zh-CN" w:bidi="hi-IN"/>
        </w:rPr>
      </w:pPr>
      <w:r>
        <w:rPr>
          <w:b/>
          <w:bCs/>
          <w:lang w:val="pl-PL" w:eastAsia="zh-CN" w:bidi="hi-IN"/>
        </w:rPr>
        <w:t>Załącznik nr 8</w:t>
      </w:r>
      <w:r>
        <w:rPr>
          <w:lang w:val="pl-PL" w:eastAsia="zh-CN" w:bidi="hi-IN"/>
        </w:rPr>
        <w:t xml:space="preserve"> Procedury Interwencji w sytuacji podejrzenia krzywdzenia małoletniego             w Przedszkolu Publicznym nr 1 z Oddziałami Integracyjnymi w Ożarowie Mazowieckim,</w:t>
      </w:r>
    </w:p>
    <w:p>
      <w:pPr>
        <w:pStyle w:val="Normal1"/>
        <w:spacing w:lineRule="auto" w:line="240" w:before="0" w:after="0"/>
        <w:ind w:hanging="0" w:left="0"/>
        <w:jc w:val="both"/>
        <w:rPr>
          <w:lang w:val="pl-PL" w:eastAsia="zh-CN" w:bidi="hi-IN"/>
        </w:rPr>
      </w:pPr>
      <w:r>
        <w:rPr>
          <w:b/>
          <w:bCs/>
          <w:lang w:val="pl-PL" w:eastAsia="zh-CN" w:bidi="hi-IN"/>
        </w:rPr>
        <w:t xml:space="preserve">Załącznik 9 </w:t>
      </w:r>
      <w:r>
        <w:rPr>
          <w:lang w:val="pl-PL" w:eastAsia="zh-CN" w:bidi="hi-IN"/>
        </w:rPr>
        <w:t>Oświadczenia pracownika.</w:t>
      </w:r>
    </w:p>
    <w:p>
      <w:pPr>
        <w:pStyle w:val="Normal1"/>
        <w:ind w:hanging="0" w:left="0"/>
        <w:rPr>
          <w:b/>
          <w:bCs/>
          <w:lang w:val="pl-PL" w:eastAsia="zh-CN" w:bidi="hi-IN"/>
        </w:rPr>
      </w:pPr>
      <w:r>
        <w:rPr>
          <w:b/>
          <w:bCs/>
          <w:lang w:val="pl-PL" w:eastAsia="zh-CN" w:bidi="hi-IN"/>
        </w:rPr>
      </w:r>
    </w:p>
    <w:p>
      <w:pPr>
        <w:pStyle w:val="Normal1"/>
        <w:ind w:hanging="0" w:left="0"/>
        <w:rPr>
          <w:b/>
          <w:bCs/>
          <w:lang w:val="pl-PL" w:eastAsia="zh-CN" w:bidi="hi-IN"/>
        </w:rPr>
      </w:pPr>
      <w:r>
        <w:rPr>
          <w:b/>
          <w:bCs/>
          <w:lang w:val="pl-PL" w:eastAsia="zh-CN" w:bidi="hi-IN"/>
        </w:rPr>
      </w:r>
    </w:p>
    <w:p>
      <w:pPr>
        <w:pStyle w:val="Normal1"/>
        <w:ind w:hanging="0" w:left="0"/>
        <w:rPr>
          <w:b/>
          <w:bCs/>
          <w:lang w:val="pl-PL" w:eastAsia="zh-CN" w:bidi="hi-IN"/>
        </w:rPr>
      </w:pPr>
      <w:r>
        <w:rPr>
          <w:b/>
          <w:bCs/>
          <w:lang w:val="pl-PL" w:eastAsia="zh-CN" w:bidi="hi-IN"/>
        </w:rPr>
      </w:r>
    </w:p>
    <w:p>
      <w:pPr>
        <w:pStyle w:val="Normal1"/>
        <w:jc w:val="center"/>
        <w:rPr>
          <w:lang w:val="pl-PL" w:eastAsia="zh-CN" w:bidi="hi-IN"/>
        </w:rPr>
      </w:pPr>
      <w:r>
        <w:rPr>
          <w:b/>
          <w:bCs/>
          <w:lang w:val="pl-PL" w:eastAsia="zh-CN" w:bidi="hi-IN"/>
        </w:rPr>
        <w:t>§ 2</w:t>
      </w:r>
    </w:p>
    <w:p>
      <w:pPr>
        <w:pStyle w:val="Normal1"/>
        <w:rPr>
          <w:lang w:val="pl-PL" w:eastAsia="zh-CN" w:bidi="hi-IN"/>
        </w:rPr>
      </w:pPr>
      <w:r>
        <w:rPr>
          <w:lang w:val="pl-PL" w:eastAsia="zh-CN" w:bidi="hi-IN"/>
        </w:rPr>
        <w:t>Pozostałe postanowienia Standardów Ochrony Małoletnich wraz z załącznikami pozostają bez zmian.</w:t>
      </w:r>
    </w:p>
    <w:p>
      <w:pPr>
        <w:pStyle w:val="Normal1"/>
        <w:jc w:val="center"/>
        <w:rPr>
          <w:lang w:val="pl-PL" w:eastAsia="zh-CN" w:bidi="hi-IN"/>
        </w:rPr>
      </w:pPr>
      <w:r>
        <w:rPr>
          <w:b/>
          <w:bCs/>
          <w:lang w:val="pl-PL" w:eastAsia="zh-CN" w:bidi="hi-IN"/>
        </w:rPr>
        <w:t>§ 3</w:t>
      </w:r>
    </w:p>
    <w:p>
      <w:pPr>
        <w:pStyle w:val="Normal1"/>
        <w:rPr>
          <w:lang w:val="pl-PL" w:eastAsia="zh-CN" w:bidi="hi-IN"/>
        </w:rPr>
      </w:pPr>
      <w:r>
        <w:rPr>
          <w:lang w:val="pl-PL" w:eastAsia="zh-CN" w:bidi="hi-IN"/>
        </w:rPr>
        <w:t>Aneks wchodzi w życie z dniem 26.08.2026 r.</w:t>
      </w:r>
    </w:p>
    <w:p>
      <w:pPr>
        <w:pStyle w:val="Normal1"/>
        <w:spacing w:lineRule="auto" w:line="240" w:before="720" w:after="200"/>
        <w:jc w:val="right"/>
        <w:rPr>
          <w:lang w:val="pl-PL" w:eastAsia="zh-CN" w:bidi="hi-IN"/>
        </w:rPr>
      </w:pPr>
      <w:r>
        <w:rPr>
          <w:lang w:val="pl-PL" w:eastAsia="zh-CN" w:bidi="hi-IN"/>
        </w:rPr>
        <w:t>........................................................................</w:t>
        <w:br/>
        <w:t>(podpis i pieczęć Dyrektora Przedszkola)</w:t>
      </w:r>
    </w:p>
    <w:sectPr>
      <w:type w:val="nextPage"/>
      <w:pgSz w:w="12240" w:h="15840"/>
      <w:pgMar w:left="1440" w:right="1440" w:gutter="0" w:header="0" w:top="1440" w:footer="0" w:bottom="144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ee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Times New Roman">
    <w:charset w:val="ee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Calibri">
    <w:charset w:val="ee"/>
    <w:family w:val="swiss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Calibri">
    <w:charset w:val="ee"/>
    <w:family w:val="roman"/>
    <w:pitch w:val="variable"/>
  </w:font>
  <w:font w:name="Courier">
    <w:altName w:val="Courier New"/>
    <w:charset w:val="ee"/>
    <w:family w:val="roman"/>
    <w:pitch w:val="variable"/>
  </w:font>
  <w:font w:name="Liberation Sans">
    <w:altName w:val="Arial"/>
    <w:charset w:val="ee"/>
    <w:family w:val="roman"/>
    <w:pitch w:val="variable"/>
    <w:embedRegular r:id="rId18" w:fontKey="{12014A78-CABC-4EF0-12AC-5CD89AEFDE12}"/>
  </w:font>
</w:fonts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Times New Roman" w:hAnsi="Times New Roman" w:eastAsia="NSimSun" w:cs="Arial"/>
      <w:color w:val="auto"/>
      <w:kern w:val="0"/>
      <w:sz w:val="24"/>
      <w:szCs w:val="24"/>
      <w:lang w:val="en-US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spacing w:lineRule="auto" w:line="240" w:before="480" w:after="0"/>
    </w:pPr>
    <w:rPr>
      <w:rFonts w:ascii="Calibri" w:hAnsi="Calibri" w:eastAsia="Calibri" w:cs="Calibri"/>
      <w:b/>
      <w:bCs/>
      <w:color w:val="366091"/>
      <w:sz w:val="28"/>
      <w:szCs w:val="28"/>
    </w:rPr>
  </w:style>
  <w:style w:type="paragraph" w:styleId="Heading2">
    <w:name w:val="Heading 2"/>
    <w:basedOn w:val="Normal1"/>
    <w:next w:val="Normal1"/>
    <w:qFormat/>
    <w:pPr>
      <w:keepNext w:val="true"/>
      <w:keepLines/>
      <w:spacing w:lineRule="auto" w:line="240" w:before="200" w:after="0"/>
    </w:pPr>
    <w:rPr>
      <w:rFonts w:ascii="Calibri" w:hAnsi="Calibri" w:eastAsia="Calibri" w:cs="Calibri"/>
      <w:b/>
      <w:bCs/>
      <w:color w:val="4F81BD"/>
      <w:sz w:val="26"/>
      <w:szCs w:val="26"/>
    </w:rPr>
  </w:style>
  <w:style w:type="paragraph" w:styleId="Heading3">
    <w:name w:val="Heading 3"/>
    <w:basedOn w:val="Normal1"/>
    <w:next w:val="Normal1"/>
    <w:qFormat/>
    <w:pPr>
      <w:keepNext w:val="true"/>
      <w:keepLines/>
      <w:spacing w:lineRule="auto" w:line="240" w:before="200" w:after="0"/>
    </w:pPr>
    <w:rPr>
      <w:rFonts w:ascii="Calibri" w:hAnsi="Calibri" w:eastAsia="Calibri" w:cs="Calibri"/>
      <w:b/>
      <w:bCs/>
      <w:color w:val="4F81BD"/>
    </w:rPr>
  </w:style>
  <w:style w:type="paragraph" w:styleId="Heading4">
    <w:name w:val="Heading 4"/>
    <w:basedOn w:val="Normal1"/>
    <w:next w:val="Normal1"/>
    <w:qFormat/>
    <w:pPr>
      <w:keepNext w:val="true"/>
      <w:keepLines/>
      <w:spacing w:lineRule="auto" w:line="240" w:before="200" w:after="0"/>
    </w:pPr>
    <w:rPr>
      <w:rFonts w:ascii="Calibri" w:hAnsi="Calibri" w:eastAsia="Calibri" w:cs="Calibri"/>
      <w:b/>
      <w:bCs/>
      <w:i/>
      <w:iCs/>
      <w:color w:val="4F81BD"/>
    </w:rPr>
  </w:style>
  <w:style w:type="paragraph" w:styleId="Heading5">
    <w:name w:val="Heading 5"/>
    <w:basedOn w:val="Normal1"/>
    <w:next w:val="Normal1"/>
    <w:qFormat/>
    <w:pPr>
      <w:keepNext w:val="true"/>
      <w:keepLines/>
      <w:spacing w:lineRule="auto" w:line="240" w:before="200" w:after="0"/>
    </w:pPr>
    <w:rPr>
      <w:rFonts w:ascii="Calibri" w:hAnsi="Calibri" w:eastAsia="Calibri" w:cs="Calibri"/>
      <w:color w:val="243F61"/>
    </w:rPr>
  </w:style>
  <w:style w:type="paragraph" w:styleId="Heading6">
    <w:name w:val="Heading 6"/>
    <w:basedOn w:val="Normal1"/>
    <w:next w:val="Normal1"/>
    <w:qFormat/>
    <w:pPr>
      <w:keepNext w:val="true"/>
      <w:keepLines/>
      <w:spacing w:lineRule="auto" w:line="240" w:before="200" w:after="0"/>
    </w:pPr>
    <w:rPr>
      <w:rFonts w:ascii="Calibri" w:hAnsi="Calibri" w:eastAsia="Calibri" w:cs="Calibri"/>
      <w:i/>
      <w:iCs/>
      <w:color w:val="243F61"/>
    </w:rPr>
  </w:style>
  <w:style w:type="paragraph" w:styleId="Heading7">
    <w:name w:val="Heading 7"/>
    <w:basedOn w:val="Normal1"/>
    <w:next w:val="Normal1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1"/>
    <w:next w:val="Normal1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1"/>
    <w:next w:val="Normal1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character" w:styleId="Hyperlink">
    <w:name w:val="Hyperlink"/>
    <w:rPr>
      <w:color w:val="000080"/>
      <w:u w:val="singl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1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1"/>
    <w:uiPriority w:val="99"/>
    <w:unhideWhenUsed/>
    <w:rsid w:val="00aa1d8d"/>
    <w:pPr>
      <w:spacing w:before="0" w:after="200"/>
      <w:ind w:hanging="360" w:left="360"/>
      <w:contextualSpacing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ormal1" w:default="1">
    <w:name w:val="normal1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Times New Roman" w:hAnsi="Times New Roman" w:eastAsia="NSimSun" w:cs="Arial"/>
      <w:color w:val="auto"/>
      <w:kern w:val="0"/>
      <w:sz w:val="24"/>
      <w:szCs w:val="24"/>
      <w:lang w:val="en-US" w:eastAsia="zh-CN" w:bidi="hi-IN"/>
    </w:rPr>
  </w:style>
  <w:style w:type="paragraph" w:styleId="Title">
    <w:name w:val="Title"/>
    <w:basedOn w:val="Normal1"/>
    <w:next w:val="Normal1"/>
    <w:qFormat/>
    <w:pPr>
      <w:pBdr>
        <w:bottom w:val="single" w:sz="8" w:space="4" w:color="4F81BD"/>
      </w:pBdr>
      <w:spacing w:lineRule="auto" w:line="240" w:before="0" w:after="300"/>
    </w:pPr>
    <w:rPr>
      <w:rFonts w:ascii="Calibri" w:hAnsi="Calibri" w:eastAsia="Calibri" w:cs="Calibri"/>
      <w:color w:val="17365D"/>
      <w:sz w:val="52"/>
      <w:szCs w:val="52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1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1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NSimSun" w:cs="Arial"/>
      <w:color w:val="auto"/>
      <w:kern w:val="0"/>
      <w:sz w:val="24"/>
      <w:szCs w:val="24"/>
      <w:lang w:val="en-US" w:eastAsia="zh-CN" w:bidi="hi-IN"/>
    </w:rPr>
  </w:style>
  <w:style w:type="paragraph" w:styleId="ListParagraph">
    <w:name w:val="List Paragraph"/>
    <w:basedOn w:val="Normal1"/>
    <w:uiPriority w:val="34"/>
    <w:qFormat/>
    <w:rsid w:val="00fc693f"/>
    <w:pPr>
      <w:spacing w:before="0" w:after="200"/>
      <w:ind w:left="720"/>
      <w:contextualSpacing/>
    </w:pPr>
    <w:rPr/>
  </w:style>
  <w:style w:type="paragraph" w:styleId="BodyText2">
    <w:name w:val="Body Text 2"/>
    <w:basedOn w:val="Normal1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1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1"/>
    <w:uiPriority w:val="99"/>
    <w:unhideWhenUsed/>
    <w:qFormat/>
    <w:rsid w:val="00326f90"/>
    <w:pPr>
      <w:spacing w:before="0" w:after="200"/>
      <w:ind w:hanging="360" w:left="720"/>
      <w:contextualSpacing/>
    </w:pPr>
    <w:rPr/>
  </w:style>
  <w:style w:type="paragraph" w:styleId="List3">
    <w:name w:val="List 3"/>
    <w:basedOn w:val="Normal1"/>
    <w:uiPriority w:val="99"/>
    <w:unhideWhenUsed/>
    <w:qFormat/>
    <w:rsid w:val="00326f90"/>
    <w:pPr>
      <w:spacing w:before="0" w:after="200"/>
      <w:ind w:hanging="360" w:left="1080"/>
      <w:contextualSpacing/>
    </w:pPr>
    <w:rPr/>
  </w:style>
  <w:style w:type="paragraph" w:styleId="ListBullet">
    <w:name w:val="List Bullet"/>
    <w:basedOn w:val="Normal1"/>
    <w:uiPriority w:val="99"/>
    <w:unhideWhenUsed/>
    <w:rsid w:val="00326f90"/>
    <w:pPr>
      <w:spacing w:before="0" w:after="200"/>
      <w:contextualSpacing/>
    </w:pPr>
    <w:rPr/>
  </w:style>
  <w:style w:type="paragraph" w:styleId="ListBullet2">
    <w:name w:val="List Bullet 2"/>
    <w:basedOn w:val="Normal1"/>
    <w:uiPriority w:val="99"/>
    <w:unhideWhenUsed/>
    <w:rsid w:val="00326f90"/>
    <w:pPr>
      <w:spacing w:before="0" w:after="200"/>
      <w:contextualSpacing/>
    </w:pPr>
    <w:rPr/>
  </w:style>
  <w:style w:type="paragraph" w:styleId="ListBullet3">
    <w:name w:val="List Bullet 3"/>
    <w:basedOn w:val="Normal1"/>
    <w:uiPriority w:val="99"/>
    <w:unhideWhenUsed/>
    <w:rsid w:val="00326f90"/>
    <w:pPr>
      <w:spacing w:before="0" w:after="200"/>
      <w:contextualSpacing/>
    </w:pPr>
    <w:rPr/>
  </w:style>
  <w:style w:type="paragraph" w:styleId="ListNumber">
    <w:name w:val="List Number"/>
    <w:basedOn w:val="Normal1"/>
    <w:uiPriority w:val="99"/>
    <w:unhideWhenUsed/>
    <w:rsid w:val="00326f90"/>
    <w:pPr>
      <w:spacing w:before="0" w:after="200"/>
      <w:contextualSpacing/>
    </w:pPr>
    <w:rPr/>
  </w:style>
  <w:style w:type="paragraph" w:styleId="ListNumber2">
    <w:name w:val="List Number 2"/>
    <w:basedOn w:val="Normal1"/>
    <w:uiPriority w:val="99"/>
    <w:unhideWhenUsed/>
    <w:rsid w:val="0029639d"/>
    <w:pPr>
      <w:spacing w:before="0" w:after="200"/>
      <w:contextualSpacing/>
    </w:pPr>
    <w:rPr/>
  </w:style>
  <w:style w:type="paragraph" w:styleId="ListNumber3">
    <w:name w:val="List Number 3"/>
    <w:basedOn w:val="Normal1"/>
    <w:uiPriority w:val="99"/>
    <w:unhideWhenUsed/>
    <w:rsid w:val="0029639d"/>
    <w:pPr>
      <w:spacing w:before="0" w:after="200"/>
      <w:contextualSpacing/>
    </w:pPr>
    <w:rPr/>
  </w:style>
  <w:style w:type="paragraph" w:styleId="ListContinue">
    <w:name w:val="List Continue"/>
    <w:basedOn w:val="Normal1"/>
    <w:uiPriority w:val="99"/>
    <w:unhideWhenUsed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1"/>
    <w:uiPriority w:val="99"/>
    <w:unhideWhenUsed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1"/>
    <w:uiPriority w:val="99"/>
    <w:unhideWhenUsed/>
    <w:rsid w:val="0029639d"/>
    <w:pPr>
      <w:spacing w:before="0" w:after="120"/>
      <w:ind w:left="108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left"/>
    </w:pPr>
    <w:rPr>
      <w:rFonts w:ascii="Courier" w:hAnsi="Courier" w:eastAsia="NSimSun" w:cs="Arial"/>
      <w:color w:val="auto"/>
      <w:kern w:val="0"/>
      <w:sz w:val="20"/>
      <w:szCs w:val="20"/>
      <w:lang w:val="en-US" w:eastAsia="zh-CN" w:bidi="hi-IN"/>
    </w:rPr>
  </w:style>
  <w:style w:type="paragraph" w:styleId="Quote">
    <w:name w:val="Quote"/>
    <w:basedOn w:val="Normal1"/>
    <w:next w:val="Normal1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Caption1">
    <w:name w:val="caption1"/>
    <w:basedOn w:val="Normal1"/>
    <w:next w:val="Normal1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tenseQuote">
    <w:name w:val="Intense Quote"/>
    <w:basedOn w:val="Normal1"/>
    <w:next w:val="Normal1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Nagwek"/>
    <w:pPr/>
    <w:rPr/>
  </w:style>
  <w:style w:type="paragraph" w:styleId="TOCHeading">
    <w:name w:val="TOC Heading"/>
    <w:basedOn w:val="Heading1"/>
    <w:next w:val="Normal1"/>
    <w:uiPriority w:val="39"/>
    <w:semiHidden/>
    <w:unhideWhenUsed/>
    <w:qFormat/>
    <w:rsid w:val="00fc693f"/>
    <w:pPr/>
    <w:rPr/>
  </w:style>
  <w:style w:type="paragraph" w:styleId="Subtitle">
    <w:name w:val="Subtitle"/>
    <w:basedOn w:val="Normal1"/>
    <w:next w:val="Normal1"/>
    <w:qFormat/>
    <w:pPr/>
    <w:rPr>
      <w:rFonts w:ascii="Calibri" w:hAnsi="Calibri" w:eastAsia="Calibri" w:cs="Calibri"/>
      <w:i/>
      <w:iCs/>
      <w:color w:val="4F81BD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 w:sz="0" w:space="0"/>
          <w:bottom w:val="single" w:color="000000" w:themeColor="text1" w:sz="8" w:space="0"/>
          <w:right w:val="nil" w:sz="0" w:space="0"/>
          <w:insideH w:val="nil" w:sz="0" w:space="0"/>
          <w:insideV w:val="nil" w:sz="0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 w:sz="0" w:space="0"/>
          <w:bottom w:val="single" w:color="000000" w:themeColor="text1" w:sz="8" w:space="0"/>
          <w:right w:val="nil" w:sz="0" w:space="0"/>
          <w:insideH w:val="nil" w:sz="0" w:space="0"/>
          <w:insideV w:val="nil" w:sz="0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 w:sz="0" w:space="0"/>
          <w:bottom w:val="single" w:color="4F81BD" w:themeColor="accent1" w:sz="8" w:space="0"/>
          <w:right w:val="nil" w:sz="0" w:space="0"/>
          <w:insideH w:val="nil" w:sz="0" w:space="0"/>
          <w:insideV w:val="nil" w:sz="0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 w:sz="0" w:space="0"/>
          <w:bottom w:val="single" w:color="4F81BD" w:themeColor="accent1" w:sz="8" w:space="0"/>
          <w:right w:val="nil" w:sz="0" w:space="0"/>
          <w:insideH w:val="nil" w:sz="0" w:space="0"/>
          <w:insideV w:val="nil" w:sz="0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 w:sz="0" w:space="0"/>
          <w:bottom w:val="single" w:color="C0504D" w:themeColor="accent2" w:sz="8" w:space="0"/>
          <w:right w:val="nil" w:sz="0" w:space="0"/>
          <w:insideH w:val="nil" w:sz="0" w:space="0"/>
          <w:insideV w:val="nil" w:sz="0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 w:sz="0" w:space="0"/>
          <w:bottom w:val="single" w:color="C0504D" w:themeColor="accent2" w:sz="8" w:space="0"/>
          <w:right w:val="nil" w:sz="0" w:space="0"/>
          <w:insideH w:val="nil" w:sz="0" w:space="0"/>
          <w:insideV w:val="nil" w:sz="0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 w:sz="0" w:space="0"/>
          <w:bottom w:val="single" w:color="9BBB59" w:themeColor="accent3" w:sz="8" w:space="0"/>
          <w:right w:val="nil" w:sz="0" w:space="0"/>
          <w:insideH w:val="nil" w:sz="0" w:space="0"/>
          <w:insideV w:val="nil" w:sz="0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 w:sz="0" w:space="0"/>
          <w:bottom w:val="single" w:color="9BBB59" w:themeColor="accent3" w:sz="8" w:space="0"/>
          <w:right w:val="nil" w:sz="0" w:space="0"/>
          <w:insideH w:val="nil" w:sz="0" w:space="0"/>
          <w:insideV w:val="nil" w:sz="0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 w:sz="0" w:space="0"/>
          <w:bottom w:val="single" w:color="8064A2" w:themeColor="accent4" w:sz="8" w:space="0"/>
          <w:right w:val="nil" w:sz="0" w:space="0"/>
          <w:insideH w:val="nil" w:sz="0" w:space="0"/>
          <w:insideV w:val="nil" w:sz="0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 w:sz="0" w:space="0"/>
          <w:bottom w:val="single" w:color="8064A2" w:themeColor="accent4" w:sz="8" w:space="0"/>
          <w:right w:val="nil" w:sz="0" w:space="0"/>
          <w:insideH w:val="nil" w:sz="0" w:space="0"/>
          <w:insideV w:val="nil" w:sz="0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 w:sz="0" w:space="0"/>
          <w:bottom w:val="single" w:color="4BACC6" w:themeColor="accent5" w:sz="8" w:space="0"/>
          <w:right w:val="nil" w:sz="0" w:space="0"/>
          <w:insideH w:val="nil" w:sz="0" w:space="0"/>
          <w:insideV w:val="nil" w:sz="0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 w:sz="0" w:space="0"/>
          <w:bottom w:val="single" w:color="4BACC6" w:themeColor="accent5" w:sz="8" w:space="0"/>
          <w:right w:val="nil" w:sz="0" w:space="0"/>
          <w:insideH w:val="nil" w:sz="0" w:space="0"/>
          <w:insideV w:val="nil" w:sz="0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 w:sz="0" w:space="0"/>
          <w:bottom w:val="single" w:color="F79646" w:themeColor="accent6" w:sz="8" w:space="0"/>
          <w:right w:val="nil" w:sz="0" w:space="0"/>
          <w:insideH w:val="nil" w:sz="0" w:space="0"/>
          <w:insideV w:val="nil" w:sz="0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 w:sz="0" w:space="0"/>
          <w:bottom w:val="single" w:color="F79646" w:themeColor="accent6" w:sz="8" w:space="0"/>
          <w:right w:val="nil" w:sz="0" w:space="0"/>
          <w:insideH w:val="nil" w:sz="0" w:space="0"/>
          <w:insideV w:val="nil" w:sz="0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 w:sz="0" w:space="0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 w:sz="0" w:space="0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 w:sz="0" w:space="0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 w:sz="0" w:space="0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 w:sz="0" w:space="0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 w:sz="0" w:space="0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 w:sz="0" w:space="0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 w:sz="0" w:space="0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 w:sz="0" w:space="0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 w:sz="0" w:space="0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 w:sz="0" w:space="0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 w:sz="0" w:space="0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 w:sz="0" w:space="0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 w:sz="0" w:space="0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 w:sz="0" w:space="0"/>
          <w:insideV w:val="nil" w:sz="0" w:space="0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 w:sz="0" w:space="0"/>
          <w:insideV w:val="nil" w:sz="0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 w:sz="0" w:space="0"/>
          <w:insideV w:val="nil" w:sz="0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 w:sz="0" w:space="0"/>
          <w:insideV w:val="nil" w:sz="0" w:space="0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 w:sz="0" w:space="0"/>
          <w:insideV w:val="nil" w:sz="0" w:space="0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 w:sz="0" w:space="0"/>
          <w:insideV w:val="nil" w:sz="0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 w:sz="0" w:space="0"/>
          <w:insideV w:val="nil" w:sz="0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 w:sz="0" w:space="0"/>
          <w:insideV w:val="nil" w:sz="0" w:space="0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 w:sz="0" w:space="0"/>
          <w:insideV w:val="nil" w:sz="0" w:space="0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 w:sz="0" w:space="0"/>
          <w:insideV w:val="nil" w:sz="0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 w:sz="0" w:space="0"/>
          <w:insideV w:val="nil" w:sz="0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 w:sz="0" w:space="0"/>
          <w:insideV w:val="nil" w:sz="0" w:space="0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 w:sz="0" w:space="0"/>
          <w:insideV w:val="nil" w:sz="0" w:space="0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 w:sz="0" w:space="0"/>
          <w:insideV w:val="nil" w:sz="0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 w:sz="0" w:space="0"/>
          <w:insideV w:val="nil" w:sz="0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 w:sz="0" w:space="0"/>
          <w:insideV w:val="nil" w:sz="0" w:space="0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 w:sz="0" w:space="0"/>
          <w:insideV w:val="nil" w:sz="0" w:space="0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 w:sz="0" w:space="0"/>
          <w:insideV w:val="nil" w:sz="0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 w:sz="0" w:space="0"/>
          <w:insideV w:val="nil" w:sz="0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 w:sz="0" w:space="0"/>
          <w:insideV w:val="nil" w:sz="0" w:space="0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 w:sz="0" w:space="0"/>
          <w:insideV w:val="nil" w:sz="0" w:space="0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 w:sz="0" w:space="0"/>
          <w:insideV w:val="nil" w:sz="0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 w:sz="0" w:space="0"/>
          <w:insideV w:val="nil" w:sz="0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 w:sz="0" w:space="0"/>
          <w:insideV w:val="nil" w:sz="0" w:space="0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 w:sz="0" w:space="0"/>
          <w:insideV w:val="nil" w:sz="0" w:space="0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 w:sz="0" w:space="0"/>
          <w:insideV w:val="nil" w:sz="0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 w:sz="0" w:space="0"/>
          <w:insideV w:val="nil" w:sz="0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 w:sz="0" w:space="0"/>
          <w:insideV w:val="nil" w:sz="0" w:space="0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 w:sz="0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/>
      </w:tcPr>
    </w:tblStylePr>
    <w:tblStylePr w:type="lastCol">
      <w:rPr>
        <w:b/>
        <w:bCs/>
        <w:color w:themeColor="background1"/>
      </w:rPr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/>
      </w:tcPr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 w:sz="0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4F81BD" w:themeFill="accent1"/>
      </w:tcPr>
    </w:tblStylePr>
    <w:tblStylePr w:type="lastCol">
      <w:rPr>
        <w:b/>
        <w:bCs/>
        <w:color w:themeColor="background1"/>
      </w:rPr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4F81BD" w:themeFill="accent1"/>
      </w:tcPr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 w:sz="0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C0504D" w:themeFill="accent2"/>
      </w:tcPr>
    </w:tblStylePr>
    <w:tblStylePr w:type="lastCol">
      <w:rPr>
        <w:b/>
        <w:bCs/>
        <w:color w:themeColor="background1"/>
      </w:rPr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C0504D" w:themeFill="accent2"/>
      </w:tcPr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 w:sz="0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9BBB59" w:themeFill="accent3"/>
      </w:tcPr>
    </w:tblStylePr>
    <w:tblStylePr w:type="lastCol">
      <w:rPr>
        <w:b/>
        <w:bCs/>
        <w:color w:themeColor="background1"/>
      </w:rPr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9BBB59" w:themeFill="accent3"/>
      </w:tcPr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 w:sz="0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8064A2" w:themeFill="accent4"/>
      </w:tcPr>
    </w:tblStylePr>
    <w:tblStylePr w:type="lastCol">
      <w:rPr>
        <w:b/>
        <w:bCs/>
        <w:color w:themeColor="background1"/>
      </w:rPr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8064A2" w:themeFill="accent4"/>
      </w:tcPr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 w:sz="0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4BACC6" w:themeFill="accent5"/>
      </w:tcPr>
    </w:tblStylePr>
    <w:tblStylePr w:type="lastCol">
      <w:rPr>
        <w:b/>
        <w:bCs/>
        <w:color w:themeColor="background1"/>
      </w:rPr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4BACC6" w:themeFill="accent5"/>
      </w:tcPr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 w:sz="0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F79646" w:themeFill="accent6"/>
      </w:tcPr>
    </w:tblStylePr>
    <w:tblStylePr w:type="lastCol">
      <w:rPr>
        <w:b/>
        <w:bCs/>
        <w:color w:themeColor="background1"/>
      </w:rPr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F79646" w:themeFill="accent6"/>
      </w:tcPr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 w:sz="0" w:space="0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 w:sz="0" w:space="0"/>
          <w:bottom w:val="single" w:color="4F81BD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 w:sz="0" w:space="0"/>
          <w:bottom w:val="single" w:color="C0504D" w:themeColor="accent2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 w:sz="0" w:space="0"/>
          <w:bottom w:val="single" w:color="9BBB59" w:themeColor="accent3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 w:sz="0" w:space="0"/>
          <w:bottom w:val="single" w:color="8064A2" w:themeColor="accent4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 w:sz="0" w:space="0"/>
          <w:bottom w:val="single" w:color="4BACC6" w:themeColor="accent5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 w:sz="0" w:space="0"/>
          <w:bottom w:val="single" w:color="F79646" w:themeColor="accent6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 w:sz="0" w:space="0"/>
          <w:left w:val="nil" w:sz="0" w:space="0"/>
          <w:bottom w:val="single" w:color="000000" w:themeColor="text1" w:sz="24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tblPr/>
      <w:tcPr>
        <w:tcBorders>
          <w:top w:val="nil" w:sz="0" w:space="0"/>
          <w:left w:val="nil" w:sz="0" w:space="0"/>
          <w:bottom w:val="nil" w:sz="0" w:space="0"/>
          <w:right w:val="single" w:color="000000" w:themeColor="text1" w:sz="8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Col">
      <w:tblPr/>
      <w:tcPr>
        <w:tcBorders>
          <w:top w:val="nil" w:sz="0" w:space="0"/>
          <w:left w:val="single" w:color="000000" w:themeColor="text1" w:sz="8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 w:sz="0" w:space="0"/>
          <w:bottom w:val="nil" w:sz="0" w:space="0"/>
          <w:insideH w:val="nil" w:sz="0" w:space="0"/>
          <w:insideV w:val="nil" w:sz="0" w:space="0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sz="0" w:space="0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 w:sz="0" w:space="0"/>
          <w:left w:val="nil" w:sz="0" w:space="0"/>
          <w:bottom w:val="single" w:color="4F81BD" w:themeColor="accent1" w:sz="24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tblPr/>
      <w:tcPr>
        <w:tcBorders>
          <w:top w:val="nil" w:sz="0" w:space="0"/>
          <w:left w:val="nil" w:sz="0" w:space="0"/>
          <w:bottom w:val="nil" w:sz="0" w:space="0"/>
          <w:right w:val="single" w:color="4F81BD" w:themeColor="accent1" w:sz="8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Col">
      <w:tblPr/>
      <w:tcPr>
        <w:tcBorders>
          <w:top w:val="nil" w:sz="0" w:space="0"/>
          <w:left w:val="single" w:color="4F81BD" w:themeColor="accent1" w:sz="8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 w:sz="0" w:space="0"/>
          <w:bottom w:val="nil" w:sz="0" w:space="0"/>
          <w:insideH w:val="nil" w:sz="0" w:space="0"/>
          <w:insideV w:val="nil" w:sz="0" w:space="0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sz="0" w:space="0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 w:sz="0" w:space="0"/>
          <w:left w:val="nil" w:sz="0" w:space="0"/>
          <w:bottom w:val="single" w:color="C0504D" w:themeColor="accent2" w:sz="24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tblPr/>
      <w:tcPr>
        <w:tcBorders>
          <w:top w:val="nil" w:sz="0" w:space="0"/>
          <w:left w:val="nil" w:sz="0" w:space="0"/>
          <w:bottom w:val="nil" w:sz="0" w:space="0"/>
          <w:right w:val="single" w:color="C0504D" w:themeColor="accent2" w:sz="8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Col">
      <w:tblPr/>
      <w:tcPr>
        <w:tcBorders>
          <w:top w:val="nil" w:sz="0" w:space="0"/>
          <w:left w:val="single" w:color="C0504D" w:themeColor="accent2" w:sz="8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 w:sz="0" w:space="0"/>
          <w:bottom w:val="nil" w:sz="0" w:space="0"/>
          <w:insideH w:val="nil" w:sz="0" w:space="0"/>
          <w:insideV w:val="nil" w:sz="0" w:space="0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sz="0" w:space="0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 w:sz="0" w:space="0"/>
          <w:left w:val="nil" w:sz="0" w:space="0"/>
          <w:bottom w:val="single" w:color="9BBB59" w:themeColor="accent3" w:sz="24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tblPr/>
      <w:tcPr>
        <w:tcBorders>
          <w:top w:val="nil" w:sz="0" w:space="0"/>
          <w:left w:val="nil" w:sz="0" w:space="0"/>
          <w:bottom w:val="nil" w:sz="0" w:space="0"/>
          <w:right w:val="single" w:color="9BBB59" w:themeColor="accent3" w:sz="8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Col">
      <w:tblPr/>
      <w:tcPr>
        <w:tcBorders>
          <w:top w:val="nil" w:sz="0" w:space="0"/>
          <w:left w:val="single" w:color="9BBB59" w:themeColor="accent3" w:sz="8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 w:sz="0" w:space="0"/>
          <w:bottom w:val="nil" w:sz="0" w:space="0"/>
          <w:insideH w:val="nil" w:sz="0" w:space="0"/>
          <w:insideV w:val="nil" w:sz="0" w:space="0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sz="0" w:space="0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 w:sz="0" w:space="0"/>
          <w:left w:val="nil" w:sz="0" w:space="0"/>
          <w:bottom w:val="single" w:color="8064A2" w:themeColor="accent4" w:sz="24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tblPr/>
      <w:tcPr>
        <w:tcBorders>
          <w:top w:val="nil" w:sz="0" w:space="0"/>
          <w:left w:val="nil" w:sz="0" w:space="0"/>
          <w:bottom w:val="nil" w:sz="0" w:space="0"/>
          <w:right w:val="single" w:color="8064A2" w:themeColor="accent4" w:sz="8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Col">
      <w:tblPr/>
      <w:tcPr>
        <w:tcBorders>
          <w:top w:val="nil" w:sz="0" w:space="0"/>
          <w:left w:val="single" w:color="8064A2" w:themeColor="accent4" w:sz="8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 w:sz="0" w:space="0"/>
          <w:bottom w:val="nil" w:sz="0" w:space="0"/>
          <w:insideH w:val="nil" w:sz="0" w:space="0"/>
          <w:insideV w:val="nil" w:sz="0" w:space="0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sz="0" w:space="0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 w:sz="0" w:space="0"/>
          <w:left w:val="nil" w:sz="0" w:space="0"/>
          <w:bottom w:val="single" w:color="4BACC6" w:themeColor="accent5" w:sz="24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tblPr/>
      <w:tcPr>
        <w:tcBorders>
          <w:top w:val="nil" w:sz="0" w:space="0"/>
          <w:left w:val="nil" w:sz="0" w:space="0"/>
          <w:bottom w:val="nil" w:sz="0" w:space="0"/>
          <w:right w:val="single" w:color="4BACC6" w:themeColor="accent5" w:sz="8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Col">
      <w:tblPr/>
      <w:tcPr>
        <w:tcBorders>
          <w:top w:val="nil" w:sz="0" w:space="0"/>
          <w:left w:val="single" w:color="4BACC6" w:themeColor="accent5" w:sz="8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 w:sz="0" w:space="0"/>
          <w:bottom w:val="nil" w:sz="0" w:space="0"/>
          <w:insideH w:val="nil" w:sz="0" w:space="0"/>
          <w:insideV w:val="nil" w:sz="0" w:space="0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sz="0" w:space="0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 w:sz="0" w:space="0"/>
          <w:left w:val="nil" w:sz="0" w:space="0"/>
          <w:bottom w:val="single" w:color="F79646" w:themeColor="accent6" w:sz="24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tblPr/>
      <w:tcPr>
        <w:tcBorders>
          <w:top w:val="nil" w:sz="0" w:space="0"/>
          <w:left w:val="nil" w:sz="0" w:space="0"/>
          <w:bottom w:val="nil" w:sz="0" w:space="0"/>
          <w:right w:val="single" w:color="F79646" w:themeColor="accent6" w:sz="8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Col">
      <w:tblPr/>
      <w:tcPr>
        <w:tcBorders>
          <w:top w:val="nil" w:sz="0" w:space="0"/>
          <w:left w:val="single" w:color="F79646" w:themeColor="accent6" w:sz="8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 w:sz="0" w:space="0"/>
          <w:bottom w:val="nil" w:sz="0" w:space="0"/>
          <w:insideH w:val="nil" w:sz="0" w:space="0"/>
          <w:insideV w:val="nil" w:sz="0" w:space="0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sz="0" w:space="0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 w:sz="0" w:space="0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0" w:space="0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 w:sz="0" w:space="0"/>
          <w:insideV w:val="nil" w:sz="0" w:space="0"/>
        </w:tcBorders>
        <w:shd w:val="clear" w:color="auto" w:fill="000000" w:themeFill="tex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 w:sz="0" w:space="0"/>
          <w:left w:val="single" w:color="FFFFFF" w:themeColor="background1" w:sz="24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0" w:space="0"/>
          <w:insideV w:val="nil" w:sz="0" w:space="0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 w:sz="0" w:space="0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0" w:space="0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 w:sz="0" w:space="0"/>
          <w:insideV w:val="nil" w:sz="0" w:space="0"/>
        </w:tcBorders>
        <w:shd w:val="clear" w:color="auto" w:fill="4F81BD" w:themeFill="accen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 w:sz="0" w:space="0"/>
          <w:left w:val="single" w:color="FFFFFF" w:themeColor="background1" w:sz="24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0" w:space="0"/>
          <w:insideV w:val="nil" w:sz="0" w:space="0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 w:sz="0" w:space="0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0" w:space="0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 w:sz="0" w:space="0"/>
          <w:insideV w:val="nil" w:sz="0" w:space="0"/>
        </w:tcBorders>
        <w:shd w:val="clear" w:color="auto" w:fill="C0504D" w:themeFill="accent2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 w:sz="0" w:space="0"/>
          <w:left w:val="single" w:color="FFFFFF" w:themeColor="background1" w:sz="24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0" w:space="0"/>
          <w:insideV w:val="nil" w:sz="0" w:space="0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 w:sz="0" w:space="0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0" w:space="0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 w:sz="0" w:space="0"/>
          <w:insideV w:val="nil" w:sz="0" w:space="0"/>
        </w:tcBorders>
        <w:shd w:val="clear" w:color="auto" w:fill="9BBB59" w:themeFill="accent3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 w:sz="0" w:space="0"/>
          <w:left w:val="single" w:color="FFFFFF" w:themeColor="background1" w:sz="24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0" w:space="0"/>
          <w:insideV w:val="nil" w:sz="0" w:space="0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 w:sz="0" w:space="0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0" w:space="0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 w:sz="0" w:space="0"/>
          <w:insideV w:val="nil" w:sz="0" w:space="0"/>
        </w:tcBorders>
        <w:shd w:val="clear" w:color="auto" w:fill="8064A2" w:themeFill="accent4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 w:sz="0" w:space="0"/>
          <w:left w:val="single" w:color="FFFFFF" w:themeColor="background1" w:sz="24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0" w:space="0"/>
          <w:insideV w:val="nil" w:sz="0" w:space="0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 w:sz="0" w:space="0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0" w:space="0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 w:sz="0" w:space="0"/>
          <w:insideV w:val="nil" w:sz="0" w:space="0"/>
        </w:tcBorders>
        <w:shd w:val="clear" w:color="auto" w:fill="4BACC6" w:themeFill="accent5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 w:sz="0" w:space="0"/>
          <w:left w:val="single" w:color="FFFFFF" w:themeColor="background1" w:sz="24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0" w:space="0"/>
          <w:insideV w:val="nil" w:sz="0" w:space="0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 w:sz="0" w:space="0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0" w:space="0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 w:sz="0" w:space="0"/>
          <w:insideV w:val="nil" w:sz="0" w:space="0"/>
        </w:tcBorders>
        <w:shd w:val="clear" w:color="auto" w:fill="F79646" w:themeFill="accent6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 w:sz="0" w:space="0"/>
          <w:left w:val="single" w:color="FFFFFF" w:themeColor="background1" w:sz="24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0" w:space="0"/>
          <w:insideV w:val="nil" w:sz="0" w:space="0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 w:sz="0" w:space="0"/>
          <w:left w:val="nil" w:sz="0" w:space="0"/>
          <w:bottom w:val="single" w:color="FFFFFF" w:themeColor="background1" w:sz="18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 w:sz="0" w:space="0"/>
          <w:left w:val="nil" w:sz="0" w:space="0"/>
          <w:bottom w:val="nil" w:sz="0" w:space="0"/>
          <w:right w:val="single" w:color="FFFFFF" w:themeColor="background1" w:sz="18" w:space="0"/>
          <w:insideH w:val="nil" w:sz="0" w:space="0"/>
          <w:insideV w:val="nil" w:sz="0" w:space="0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 w:sz="0" w:space="0"/>
          <w:left w:val="single" w:color="FFFFFF" w:themeColor="background1" w:sz="18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 w:sz="0" w:space="0"/>
          <w:left w:val="nil" w:sz="0" w:space="0"/>
          <w:bottom w:val="single" w:color="FFFFFF" w:themeColor="background1" w:sz="18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 w:sz="0" w:space="0"/>
          <w:left w:val="nil" w:sz="0" w:space="0"/>
          <w:bottom w:val="nil" w:sz="0" w:space="0"/>
          <w:right w:val="single" w:color="FFFFFF" w:themeColor="background1" w:sz="18" w:space="0"/>
          <w:insideH w:val="nil" w:sz="0" w:space="0"/>
          <w:insideV w:val="nil" w:sz="0" w:space="0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 w:sz="0" w:space="0"/>
          <w:left w:val="single" w:color="FFFFFF" w:themeColor="background1" w:sz="18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 w:sz="0" w:space="0"/>
          <w:left w:val="nil" w:sz="0" w:space="0"/>
          <w:bottom w:val="single" w:color="FFFFFF" w:themeColor="background1" w:sz="18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 w:sz="0" w:space="0"/>
          <w:left w:val="nil" w:sz="0" w:space="0"/>
          <w:bottom w:val="nil" w:sz="0" w:space="0"/>
          <w:right w:val="single" w:color="FFFFFF" w:themeColor="background1" w:sz="18" w:space="0"/>
          <w:insideH w:val="nil" w:sz="0" w:space="0"/>
          <w:insideV w:val="nil" w:sz="0" w:space="0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 w:sz="0" w:space="0"/>
          <w:left w:val="single" w:color="FFFFFF" w:themeColor="background1" w:sz="18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 w:sz="0" w:space="0"/>
          <w:left w:val="nil" w:sz="0" w:space="0"/>
          <w:bottom w:val="single" w:color="FFFFFF" w:themeColor="background1" w:sz="18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 w:sz="0" w:space="0"/>
          <w:left w:val="nil" w:sz="0" w:space="0"/>
          <w:bottom w:val="nil" w:sz="0" w:space="0"/>
          <w:right w:val="single" w:color="FFFFFF" w:themeColor="background1" w:sz="18" w:space="0"/>
          <w:insideH w:val="nil" w:sz="0" w:space="0"/>
          <w:insideV w:val="nil" w:sz="0" w:space="0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 w:sz="0" w:space="0"/>
          <w:left w:val="single" w:color="FFFFFF" w:themeColor="background1" w:sz="18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 w:sz="0" w:space="0"/>
          <w:left w:val="nil" w:sz="0" w:space="0"/>
          <w:bottom w:val="single" w:color="FFFFFF" w:themeColor="background1" w:sz="18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 w:sz="0" w:space="0"/>
          <w:left w:val="nil" w:sz="0" w:space="0"/>
          <w:bottom w:val="nil" w:sz="0" w:space="0"/>
          <w:right w:val="single" w:color="FFFFFF" w:themeColor="background1" w:sz="18" w:space="0"/>
          <w:insideH w:val="nil" w:sz="0" w:space="0"/>
          <w:insideV w:val="nil" w:sz="0" w:space="0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 w:sz="0" w:space="0"/>
          <w:left w:val="single" w:color="FFFFFF" w:themeColor="background1" w:sz="18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 w:sz="0" w:space="0"/>
          <w:left w:val="nil" w:sz="0" w:space="0"/>
          <w:bottom w:val="single" w:color="FFFFFF" w:themeColor="background1" w:sz="18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 w:sz="0" w:space="0"/>
          <w:left w:val="nil" w:sz="0" w:space="0"/>
          <w:bottom w:val="nil" w:sz="0" w:space="0"/>
          <w:right w:val="single" w:color="FFFFFF" w:themeColor="background1" w:sz="18" w:space="0"/>
          <w:insideH w:val="nil" w:sz="0" w:space="0"/>
          <w:insideV w:val="nil" w:sz="0" w:space="0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 w:sz="0" w:space="0"/>
          <w:left w:val="single" w:color="FFFFFF" w:themeColor="background1" w:sz="18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 w:sz="0" w:space="0"/>
          <w:left w:val="nil" w:sz="0" w:space="0"/>
          <w:bottom w:val="single" w:color="FFFFFF" w:themeColor="background1" w:sz="18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 w:sz="0" w:space="0"/>
          <w:left w:val="nil" w:sz="0" w:space="0"/>
          <w:bottom w:val="nil" w:sz="0" w:space="0"/>
          <w:right w:val="single" w:color="FFFFFF" w:themeColor="background1" w:sz="18" w:space="0"/>
          <w:insideH w:val="nil" w:sz="0" w:space="0"/>
          <w:insideV w:val="nil" w:sz="0" w:space="0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 w:sz="0" w:space="0"/>
          <w:left w:val="single" w:color="FFFFFF" w:themeColor="background1" w:sz="18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 w:sz="0" w:space="0"/>
          <w:left w:val="nil" w:sz="0" w:space="0"/>
          <w:bottom w:val="single" w:color="C0504D" w:themeColor="accent2" w:sz="24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themeColor="background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single" w:color="000000" w:themeColor="text1" w:sz="4" w:space="0"/>
          <w:insideV w:val="nil" w:sz="0" w:space="0"/>
        </w:tcBorders>
        <w:shd w:val="clear" w:color="auto" w:fill="000000" w:themeFill="text1" w:themeFillShade="99"/>
      </w:tcPr>
    </w:tblStylePr>
    <w:tblStylePr w:type="lastCol">
      <w:rPr>
        <w:color w:themeColor="background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 w:sz="0" w:space="0"/>
          <w:left w:val="nil" w:sz="0" w:space="0"/>
          <w:bottom w:val="single" w:color="C0504D" w:themeColor="accent2" w:sz="24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themeColor="background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single" w:color="2C4C74" w:themeColor="accent1" w:sz="4" w:space="0"/>
          <w:insideV w:val="nil" w:sz="0" w:space="0"/>
        </w:tcBorders>
        <w:shd w:val="clear" w:color="auto" w:fill="2C4C74" w:themeFill="accent1" w:themeFillShade="99"/>
      </w:tcPr>
    </w:tblStylePr>
    <w:tblStylePr w:type="lastCol">
      <w:rPr>
        <w:color w:themeColor="background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 w:sz="0" w:space="0"/>
          <w:left w:val="nil" w:sz="0" w:space="0"/>
          <w:bottom w:val="single" w:color="C0504D" w:themeColor="accent2" w:sz="24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themeColor="background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single" w:color="772C2A" w:themeColor="accent2" w:sz="4" w:space="0"/>
          <w:insideV w:val="nil" w:sz="0" w:space="0"/>
        </w:tcBorders>
        <w:shd w:val="clear" w:color="auto" w:fill="772C2A" w:themeFill="accent2" w:themeFillShade="99"/>
      </w:tcPr>
    </w:tblStylePr>
    <w:tblStylePr w:type="lastCol">
      <w:rPr>
        <w:color w:themeColor="background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 w:sz="0" w:space="0"/>
          <w:left w:val="nil" w:sz="0" w:space="0"/>
          <w:bottom w:val="single" w:color="8064A2" w:themeColor="accent4" w:sz="24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themeColor="background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single" w:color="5E7530" w:themeColor="accent3" w:sz="4" w:space="0"/>
          <w:insideV w:val="nil" w:sz="0" w:space="0"/>
        </w:tcBorders>
        <w:shd w:val="clear" w:color="auto" w:fill="5E7530" w:themeFill="accent3" w:themeFillShade="99"/>
      </w:tcPr>
    </w:tblStylePr>
    <w:tblStylePr w:type="lastCol">
      <w:rPr>
        <w:color w:themeColor="background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 w:sz="0" w:space="0"/>
          <w:left w:val="nil" w:sz="0" w:space="0"/>
          <w:bottom w:val="single" w:color="9BBB59" w:themeColor="accent3" w:sz="24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themeColor="background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single" w:color="4C3B62" w:themeColor="accent4" w:sz="4" w:space="0"/>
          <w:insideV w:val="nil" w:sz="0" w:space="0"/>
        </w:tcBorders>
        <w:shd w:val="clear" w:color="auto" w:fill="4C3B62" w:themeFill="accent4" w:themeFillShade="99"/>
      </w:tcPr>
    </w:tblStylePr>
    <w:tblStylePr w:type="lastCol">
      <w:rPr>
        <w:color w:themeColor="background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 w:sz="0" w:space="0"/>
          <w:left w:val="nil" w:sz="0" w:space="0"/>
          <w:bottom w:val="single" w:color="F79646" w:themeColor="accent6" w:sz="24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themeColor="background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single" w:color="276A7C" w:themeColor="accent5" w:sz="4" w:space="0"/>
          <w:insideV w:val="nil" w:sz="0" w:space="0"/>
        </w:tcBorders>
        <w:shd w:val="clear" w:color="auto" w:fill="276A7C" w:themeFill="accent5" w:themeFillShade="99"/>
      </w:tcPr>
    </w:tblStylePr>
    <w:tblStylePr w:type="lastCol">
      <w:rPr>
        <w:color w:themeColor="background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 w:sz="0" w:space="0"/>
          <w:left w:val="nil" w:sz="0" w:space="0"/>
          <w:bottom w:val="single" w:color="4BACC6" w:themeColor="accent5" w:sz="24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themeColor="background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single" w:color="B65608" w:themeColor="accent6" w:sz="4" w:space="0"/>
          <w:insideV w:val="nil" w:sz="0" w:space="0"/>
        </w:tcBorders>
        <w:shd w:val="clear" w:color="auto" w:fill="B65608" w:themeFill="accent6" w:themeFillShade="99"/>
      </w:tcPr>
    </w:tblStylePr>
    <w:tblStylePr w:type="lastCol">
      <w:rPr>
        <w:color w:themeColor="background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p1.ozarow-mazowiecki.pl/dokumenty-do-pobrania/" TargetMode="External"/><Relationship Id="rId3" Type="http://schemas.openxmlformats.org/officeDocument/2006/relationships/hyperlink" Target="https://p1.ozarow-mazowiecki.pl/kontakt/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ylFW6pKKuRCtL08rq9/AkN3LKoA==">CgMxLjA4AHIhMTBURnhFWWN4SG5yazZMNlFia2taVmtFNGV2ZjVpVVVT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LibreOffice/7.6.0.3$Windows_X86_64 LibreOffice_project/69edd8b8ebc41d00b4de3915dc82f8f0fc3b6265</Application>
  <AppVersion>15.0000</AppVersion>
  <Pages>3</Pages>
  <Words>707</Words>
  <Characters>4222</Characters>
  <CharactersWithSpaces>5050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/>
  <dc:language>pl-PL</dc:language>
  <cp:lastModifiedBy/>
  <dcterms:modified xsi:type="dcterms:W3CDTF">2026-09-01T09:49:03Z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