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0"/>
        <w:jc w:val="center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1A365D"/>
          <w:sz w:val="24"/>
          <w:szCs w:val="24"/>
          <w:lang w:val="pl-PL"/>
        </w:rPr>
        <w:t>PROCEDURY INTERWENCJI</w:t>
        <w:br/>
        <w:t>W SYTUACJI PODEJRZENIA KRZYWDZENIA MAŁOLETNIEGO</w:t>
      </w:r>
    </w:p>
    <w:p>
      <w:pPr>
        <w:pStyle w:val="Normal1"/>
        <w:spacing w:lineRule="auto" w:line="240" w:before="0" w:after="0"/>
        <w:jc w:val="center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w Przedszkolu Publicznym nr 1 z Oddziałami Integracyjnymi w Ożarowie Mazowieckim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val="pl-PL"/>
        </w:rPr>
        <w:br/>
      </w:r>
    </w:p>
    <w:p>
      <w:pPr>
        <w:pStyle w:val="Normal1"/>
        <w:keepNext w:val="true"/>
        <w:spacing w:lineRule="auto" w:line="240" w:before="320" w:after="12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1A365D"/>
          <w:sz w:val="24"/>
          <w:szCs w:val="24"/>
          <w:lang w:val="pl-PL"/>
        </w:rPr>
        <w:t>I. PROCEDURA POSTĘPOWANIA W SYTUACJI PODEJRZENIA PRZEMOCY DOMOWEJ</w:t>
      </w:r>
    </w:p>
    <w:p>
      <w:pPr>
        <w:pStyle w:val="Normal1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Procedurę uruchamia się, gdy zachodzi podejrzenie, że sprawcą przemocy fizycznej, psychicznej, seksualnej lub zaniedbania wobec dziecka jest rodzic, opiekun prawny lub inny pełnoletni domownik.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1: Rozpoznanie i zapewnienie bezpieczeństwa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Wstępna obserwacja: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Nauczyciel lub inny pracownik przedszkola, który zauważył sygnały krzywdzenia (np. ślady fizyczne, nagła zmiana zachowania, lęk, wypowiedzi dziecka), niezwłocznie izoluje dziecko od sytuacji stresowych i zapewnia mu poczucie bezpieczeństwa.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Uwzględnienie specyfiki dziecka: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W przypadku dzieci z trudnościami w komunikacji (np. spektrum autyzmu, afazja, mutyzm wybiórczy) szczególną uwagę zwraca się na komunikaty niewerbalne, nagły regres sensoryczny, nasilenie zachowań autoagresywnych lub lęk przed dotykiem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, inne.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2: Udokumentowanie i powołanie Zespołu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Notatka służbowa: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Pracownik sporządza Kartę Interwencji, precyzyjnie opisując zaistniałe fakty i cytując słowa dziecka (bez własnych domysłów i interpretacji).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Zgłoszenie i zespół: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Dyrektor przedszkola niezwłocznie powołuje wewnętrzny Zespół Interwencyjny. W skład zespołu obowiązkowo wchodzą: wychowawca grupy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oraz 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psycholog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/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pedagog specjalny (niezależnie od tego, czy dziecko posiada orzeczenie                o potrzebie kształcenia specjalnego).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3: Analiza specjalistyczna i decyzja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Weryfikacja kontekstu: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Zespół ocenia, czy zaistniałe symptomy mogą wynikać z innych przyczyn (np. zaburzeń rozwojowych, trudności sensorycznych udokumentowanych w IPET dziecka), czy stanowią realne zagrożenie przemocą domową.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Rozmowa z niekrzywdzącym opiekunem: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Dyrektor oraz psycholog/pedagog specjalny zapraszają na rozmowę rodzica/opiekuna (wobec którego nie ma podejrzenia o stosowanie przemocy). Z rozmowy sporządza się protokół.</w:t>
      </w:r>
    </w:p>
    <w:p>
      <w:pPr>
        <w:pStyle w:val="Normal1"/>
        <w:pBdr>
          <w:left w:val="single" w:sz="24" w:space="6" w:color="C53030"/>
        </w:pBdr>
        <w:shd w:val="clear" w:fill="FFF5F5"/>
        <w:spacing w:lineRule="auto" w:line="240" w:before="120" w:after="120"/>
        <w:ind w:hanging="0" w:left="288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WAŻNE: Jeśli istnieje uzasadnione ryzyko, że rozmowa z rodzicem mogłaby pogorszyć sytuację małoletniego lub sprowokować sprawcę do dalszych aktów przemocy w domu, dyrektor ODSTĘPUJE od kontaktu z rodziną i od razu uruchamia procedurę zewnętrzną.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4: Wdrożenie procedur zewnętrznych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Zgłoszenia instytucjonalne: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W przypadku braku możliwości jednoznacznego wykluczenia przemocy domowej, Dyrektor Przedszkola zobowiązany jest do:</w:t>
      </w:r>
    </w:p>
    <w:p>
      <w:pPr>
        <w:pStyle w:val="Normal1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a) Wszczęcia procedury „Niebieskiej Karty” poprzez wypełnienie formularza NK-A                 i przekazanie go do Zespołu Interdyscyplinarnego (w terminie do 7 dni).</w:t>
      </w:r>
    </w:p>
    <w:p>
      <w:pPr>
        <w:pStyle w:val="Normal1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b) Wystąpienia do Sądu Rejonowego (Wydział Rodzinny i Nieletnich) z wnioskiem o wgląd       w sytuację rodziny – w przypadkach przewlekłego zaniedbania lub podejrzenia przemocy psychicznej.</w:t>
      </w:r>
    </w:p>
    <w:p>
      <w:pPr>
        <w:pStyle w:val="Normal1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c) Niezwłocznego zawiadomienia Policji lub Prokuratury, jeśli istnieje bezpośrednie zagrożenie życia lub zdrowia dziecka.</w:t>
      </w:r>
    </w:p>
    <w:p>
      <w:pPr>
        <w:pStyle w:val="Normal1"/>
        <w:keepNext w:val="true"/>
        <w:spacing w:lineRule="auto" w:line="240" w:before="320" w:after="12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1A365D"/>
          <w:sz w:val="24"/>
          <w:szCs w:val="24"/>
          <w:lang w:val="pl-PL"/>
        </w:rPr>
        <w:t>II. PROCEDURA POSTĘPOWANIA W SYTUACJI PODEJRZENIA PRZEMOCY RÓWIEŚNICZEJ</w:t>
      </w:r>
    </w:p>
    <w:p>
      <w:pPr>
        <w:pStyle w:val="Normal1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Procedurę uruchamia się, gdy zachodzi podejrzenie, że małoletni jest krzywdzony przez inne dziecko uczęszczające do przedszkola (w tym m.in. powtarzające się bicie, gryzienie, popychanie, celowe niszczenie mienia, wykluczanie z grupy).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1: Natychmiastowe przerwanie incydentu i diagnoza wstępna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Reakcja doraźna: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Obecny na miejscu pracownik natychmiast rozdziela dzieci i przerywa zachowanie agresywne. Zapewnia pomoc medyczną i emocjonalną dziecku poszkodowanemu.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Weryfikacja charakteru czynu: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W przedszkolu z oddziałami integracyjnymi kluczowe jest odróżnienie celowej przemocy rówieśniczej od zachowań trudnych (np. agresji w afekcie, trudności z samoregulacją, zachowań wynikających z przebodźcowania u dzieci                    z zaburzeniami rozwoju).</w:t>
      </w:r>
    </w:p>
    <w:p>
      <w:pPr>
        <w:pStyle w:val="Normal1"/>
        <w:pBdr>
          <w:left w:val="single" w:sz="24" w:space="6" w:color="2B6CB0"/>
        </w:pBdr>
        <w:shd w:val="clear" w:fill="F7FAFC"/>
        <w:spacing w:lineRule="auto" w:line="240" w:before="120" w:after="120"/>
        <w:ind w:hanging="0" w:left="288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Kwalifikacja działań w zależności od profilu dziecka:</w:t>
      </w:r>
    </w:p>
    <w:p>
      <w:pPr>
        <w:pStyle w:val="Normal1"/>
        <w:pBdr>
          <w:left w:val="single" w:sz="24" w:space="6" w:color="2B6CB0"/>
        </w:pBdr>
        <w:shd w:val="clear" w:fill="F7FAFC"/>
        <w:spacing w:lineRule="auto" w:line="240" w:before="0" w:after="80"/>
        <w:ind w:hanging="0" w:left="288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- Przypadek A: Zachowanie wynika z niepełnosprawności/zaburzeń -&gt; Nie traktuje się go jako przemocy w rozumieniu Standardów. Zespół (pedagog specjalny, psycholog) modyfikuje IPET lub WOPFU, wprowadzając dodatkowe strategie behawioralne i wsparcie sensoryczne.</w:t>
      </w:r>
    </w:p>
    <w:p>
      <w:pPr>
        <w:pStyle w:val="Normal1"/>
        <w:pBdr>
          <w:left w:val="single" w:sz="24" w:space="6" w:color="2B6CB0"/>
        </w:pBdr>
        <w:shd w:val="clear" w:fill="F7FAFC"/>
        <w:spacing w:lineRule="auto" w:line="240" w:before="0" w:after="80"/>
        <w:ind w:hanging="0" w:left="288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- Przypadek B: Zachowanie ma charakter intencjonalnej, powtarzalnej agresji rówieśniczej -&gt; Uruchamia się pełną ścieżkę interwencyjną dla obu stron (zarówno dla dziecka                         z orzeczeniem, jak i bez).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2: Praca ze stronami konfliktu i rodzicami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Wsparcie specjalistyczne: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Psycholog przedszkolny prowadzi rozmowę wspierającą             z poszkodowanym oraz rozmowę dyscyplinująco-naprawczą ze sprawcą. Formę i język rozmowy dostosowuje się do wieku i możliwości komunikacyjnych dzieci (np. z użyciem historyjek obrazkowych, piktogramów, AAC).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Kontakt z opiekunami: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Nauczyciel i dyrektor organizują osobne spotkania z rodzicami dziecka poszkodowanego oraz rodzicami dziecka agresywnego. Przedstawiane są wnioski oraz planowane działania.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3: Plan naprawczy i monitorowanie sytuacji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Działania wychowawcze: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Zespół opracowuje indywidualny plan działań naprawczych dla dziecka agresywnego (np. kontrakt zachowania, trening umiejętności społecznych, system wzmocnień pozytywnych) oraz plan wsparcia dla ofiary.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Środki ostateczne: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W przypadku braku poprawy, eskalacji przemocy i całkowitego braku współpracy ze strony rodziców dziecka agresywnego, Dyrektor Przedszkola ma prawo           i obowiązek powiadomić Sąd Rejonowy (Wydział Rodzinny i Nieletnich).</w:t>
      </w:r>
    </w:p>
    <w:p>
      <w:pPr>
        <w:pStyle w:val="Normal1"/>
        <w:keepNext w:val="true"/>
        <w:spacing w:lineRule="auto" w:line="240" w:before="320" w:after="12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1A365D"/>
          <w:sz w:val="24"/>
          <w:szCs w:val="24"/>
          <w:lang w:val="pl-PL"/>
        </w:rPr>
        <w:t>III. PROCEDURA POSTĘPOWANIA W SYTUACJI PODEJRZENIA KRZYWDZENIA PRZEZ PRACOWNIKA</w:t>
      </w:r>
    </w:p>
    <w:p>
      <w:pPr>
        <w:pStyle w:val="Normal1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Procedurę uruchamia się, gdy zachodzi podejrzenie, że dziecko doświadczyło krzywdzenia ze strony jakiegokolwiek pracownika przedszkola publicznego (nauczyciela, pomocy nauczyciela, personelu obsługi, administracji lub dyrekcji).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1: Zgłoszenie incydentu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Obowiązek sygnalizowania: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Każdy pracownik przedszkola, który poweźmie informację lub będzie świadkiem zachowania noszącego znamiona krzywdzenia dziecka przez innego pracownika (np. naruszenie nietykalności, krzyk, wyzywanie, zastraszanie, zamykanie          w odosobnieniu, niewłaściwe zachowanie podczas czynności higienicznych), ma prawny obowiązek niezwłocznie zgłosić ten fakt Dyrektorowi Przedszkola w formie pisemnej.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Wyjątek dotyczący kadry zarządzającej: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Jeżeli podejrzenie dotyczy Dyrektora Przedszkola, zgłoszenie przekazuje się bezpośrednio do Organu Prowadzącego (Gmina/Miasto) oraz Organu Nadzoru Pedagogicznego (Kuratorium Oświaty).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2: Natychmiastowe środki zabezpieczające (Odsunięcie od pracy)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Izolacja sprawcy: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Dyrektor Przedszkola ma bezwzględny obowiązek natychmiastowego odsunięcia podejrzanego pracownika od jakiegokolwiek kontaktu z dziećmi.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Tryb dla nauczycieli: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W przypadku nauczyciela mianowanego lub dyplomowanego dyrektor obligatoryjnie stosuje zawieszenie w pełnieniu obowiązków służbowych na podstawie art. 83 ustawy – Karta Nauczyciela.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Tryb dla pracowników obsługi: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W przypadku pracowników administracji i obsługi (zatrudnionych na podstawie Kodeksu Pracy) dyrektor stosuje odsunięcie od obowiązków, zwolnienie ze świadczenia pracy lub natychmiastowe rozwiązanie umowy bez wypowiedzenia z winy pracownika (art. 52 KP).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3: Wsparcie dziecka i powiadomienie rodziców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Pomoc terapeutyczna: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Psycholog i pedagog specjalny natychmiast obejmują dziecko opieką psychologiczno-pedagogiczną. Zapewnia się dziecku pełną ochronę przed jakąkolwiek formą wtórnej wiktymizacji lub presji.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Kontakt z rodzicami: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Dyrektor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niezwłocznie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wzywa rodziców dziecka do przedszkola, informuje ich o zaistniałym incydencie, podjętych krokach prawno-służbowych                       i zabezpieczeniu małoletniego.</w:t>
      </w:r>
    </w:p>
    <w:p>
      <w:pPr>
        <w:pStyle w:val="Normal1"/>
        <w:keepNext w:val="true"/>
        <w:spacing w:lineRule="auto" w:line="240" w:before="240" w:after="8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color w:val="2B6CB0"/>
          <w:sz w:val="24"/>
          <w:szCs w:val="24"/>
          <w:lang w:val="pl-PL"/>
        </w:rPr>
        <w:t>Krok 4: Uruchomienie zewnętrznych procedur prawno-dyscyplinarnych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Zgłoszenie karne: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Ponieważ nauczyciel w przedszkolu publicznym podczas pełnienia obowiązków korzysta z ochrony przewidzianej dla funkcjonariuszy publicznych, Dyrektor Przedszkola ma prawny obowiązek niezwłocznego złożenia zawiadomienia o podejrzeniu popełnienia przestępstwa do Prokuratury lub na Policję.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60"/>
        <w:ind w:hanging="360" w:left="360" w:right="0"/>
        <w:jc w:val="both"/>
        <w:rPr>
          <w:lang w:val="pl-PL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>Ścieżka dyscyplinarna kuratoryjna:</w:t>
      </w: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2D3748"/>
          <w:position w:val="0"/>
          <w:sz w:val="24"/>
          <w:sz w:val="24"/>
          <w:szCs w:val="24"/>
          <w:u w:val="none"/>
          <w:shd w:fill="auto" w:val="clear"/>
          <w:vertAlign w:val="baseline"/>
          <w:lang w:val="pl-PL"/>
        </w:rPr>
        <w:t xml:space="preserve"> Dyrektor Przedszkola w terminie nieprzekraczającym 14 dni od dnia powzięcia wiadomości o uchybieniu godności zawodu nauczyciela przez podwładnego, składa oficjalny wniosek o wszczęcie postępowania dyscyplinarnego do Rzecznika Dyscyplinarnego dla Nauczycieli przy właściwym Kuratorium Oświaty.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440" w:right="1440" w:gutter="0" w:header="720" w:top="1440" w:footer="720" w:bottom="1440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ee"/>
    <w:family w:val="roman"/>
    <w:pitch w:val="variable"/>
  </w:font>
  <w:font w:name="Calibri">
    <w:charset w:val="ee"/>
    <w:family w:val="roman"/>
    <w:pitch w:val="variable"/>
    <w:embedRegular r:id="rId14" w:fontKey="{0E014A78-CABC-4EF0-12AC-5CD89AEFDE0E}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Noto Sans Symbols">
    <w:charset w:val="01"/>
    <w:family w:val="swiss"/>
    <w:pitch w:val="default"/>
    <w:embedRegular r:id="rId19" w:fontKey="{13014A78-CABC-4EF0-12AC-5CD89AEFDE13}"/>
    <w:embedBold r:id="rId20" w:fontKey="{14014A78-CABC-4EF0-12AC-5CD89AEFDE14}"/>
    <w:embedItalic r:id="rId21" w:fontKey="{15014A78-CABC-4EF0-12AC-5CD89AEFDE15}"/>
  </w:font>
  <w:font w:name="OpenSymbol">
    <w:altName w:val="Arial Unicode MS"/>
    <w:charset w:val="02"/>
    <w:family w:val="auto"/>
    <w:pitch w:val="default"/>
    <w:embedRegular r:id="rId22" w:fontKey="{16014A78-CABC-4EF0-12AC-5CD89AEFDE16}"/>
    <w:embedBold r:id="rId23" w:fontKey="{17014A78-CABC-4EF0-12AC-5CD89AEFDE17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bidi w:val="0"/>
      <w:spacing w:lineRule="auto" w:line="276" w:before="0" w:after="20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200"/>
      <w:jc w:val="right"/>
      <w:rPr>
        <w:rFonts w:ascii="Times New Roman" w:hAnsi="Times New Roman" w:eastAsia="Times New Roman" w:cs="Times New Roman"/>
        <w:b/>
        <w:bCs/>
        <w:i/>
        <w:i/>
        <w:iCs/>
        <w:sz w:val="24"/>
        <w:szCs w:val="24"/>
        <w:u w:val="single"/>
      </w:rPr>
    </w:pPr>
    <w:r>
      <w:rPr>
        <w:rFonts w:eastAsia="Times New Roman" w:cs="Times New Roman" w:ascii="Times New Roman" w:hAnsi="Times New Roman"/>
        <w:b/>
        <w:bCs/>
        <w:i/>
        <w:iCs/>
        <w:sz w:val="24"/>
        <w:szCs w:val="24"/>
        <w:u w:val="singl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200"/>
      <w:jc w:val="right"/>
      <w:rPr/>
    </w:pPr>
    <w:r>
      <w:rPr>
        <w:rFonts w:eastAsia="Times New Roman" w:cs="Times New Roman" w:ascii="Times New Roman" w:hAnsi="Times New Roman"/>
        <w:b/>
        <w:bCs/>
        <w:i/>
        <w:iCs/>
        <w:sz w:val="24"/>
        <w:szCs w:val="24"/>
        <w:u w:val="single"/>
      </w:rPr>
      <w:t>Załącznik nr 8 do Standardów Ochrony Małoletnich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2D3748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/>
      <w:color w:val="2D3748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0"/>
    </w:pPr>
    <w:rPr>
      <w:rFonts w:ascii="Calibri" w:hAnsi="Calibri" w:eastAsia="Calibri" w:cs="Calibri"/>
      <w:b/>
      <w:bCs/>
      <w:color w:val="366091"/>
      <w:sz w:val="28"/>
      <w:szCs w:val="2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  <w:sz w:val="26"/>
      <w:szCs w:val="2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i/>
      <w:iCs/>
      <w:color w:val="4F81BD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color w:val="243F61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i/>
      <w:iCs/>
      <w:color w:val="243F61"/>
    </w:rPr>
  </w:style>
  <w:style w:type="paragraph" w:styleId="Heading7">
    <w:name w:val="Heading 7"/>
    <w:basedOn w:val="Normal1"/>
    <w:next w:val="Normal1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1"/>
    <w:next w:val="Normal1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1"/>
    <w:next w:val="Normal1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1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/>
      <w:color w:val="2D3748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pBdr>
        <w:bottom w:val="single" w:sz="8" w:space="4" w:color="4F81BD"/>
      </w:pBdr>
      <w:spacing w:lineRule="auto" w:line="240" w:before="0" w:after="300"/>
    </w:pPr>
    <w:rPr>
      <w:rFonts w:ascii="Calibri" w:hAnsi="Calibri" w:eastAsia="Calibri" w:cs="Calibri"/>
      <w:color w:val="17365D"/>
      <w:sz w:val="52"/>
      <w:szCs w:val="52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1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1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Arial" w:hAnsi="Arial" w:eastAsia="Arial" w:cs="Arial"/>
      <w:color w:val="2D3748"/>
      <w:kern w:val="0"/>
      <w:sz w:val="22"/>
      <w:szCs w:val="22"/>
      <w:lang w:val="en-US" w:eastAsia="zh-CN" w:bidi="hi-IN"/>
    </w:rPr>
  </w:style>
  <w:style w:type="paragraph" w:styleId="ListParagraph">
    <w:name w:val="List Paragraph"/>
    <w:basedOn w:val="Normal1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1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1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1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1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1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Bullet3">
    <w:name w:val="List Bullet 3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Number">
    <w:name w:val="List Number"/>
    <w:basedOn w:val="Normal1"/>
    <w:uiPriority w:val="99"/>
    <w:unhideWhenUsed/>
    <w:rsid w:val="00326f90"/>
    <w:pPr>
      <w:spacing w:before="0" w:after="200"/>
      <w:contextualSpacing/>
    </w:pPr>
    <w:rPr/>
  </w:style>
  <w:style w:type="paragraph" w:styleId="ListNumber2">
    <w:name w:val="List Number 2"/>
    <w:basedOn w:val="Normal1"/>
    <w:uiPriority w:val="99"/>
    <w:unhideWhenUsed/>
    <w:rsid w:val="0029639d"/>
    <w:pPr>
      <w:spacing w:before="0" w:after="200"/>
      <w:contextualSpacing/>
    </w:pPr>
    <w:rPr/>
  </w:style>
  <w:style w:type="paragraph" w:styleId="ListNumber3">
    <w:name w:val="List Number 3"/>
    <w:basedOn w:val="Normal1"/>
    <w:uiPriority w:val="99"/>
    <w:unhideWhenUsed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1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1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1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Arial" w:cs="Arial"/>
      <w:color w:val="2D3748"/>
      <w:kern w:val="0"/>
      <w:sz w:val="20"/>
      <w:szCs w:val="20"/>
      <w:lang w:val="en-US" w:eastAsia="zh-CN" w:bidi="hi-IN"/>
    </w:rPr>
  </w:style>
  <w:style w:type="paragraph" w:styleId="Quote">
    <w:name w:val="Quote"/>
    <w:basedOn w:val="Normal1"/>
    <w:next w:val="Normal1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1"/>
    <w:next w:val="Normal1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1"/>
    <w:next w:val="Normal1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1"/>
    <w:uiPriority w:val="39"/>
    <w:semiHidden/>
    <w:unhideWhenUsed/>
    <w:qFormat/>
    <w:rsid w:val="00fc693f"/>
    <w:pPr/>
    <w:rPr/>
  </w:style>
  <w:style w:type="paragraph" w:styleId="Subtitle">
    <w:name w:val="Subtitle"/>
    <w:basedOn w:val="Normal1"/>
    <w:next w:val="Normal1"/>
    <w:qFormat/>
    <w:pPr/>
    <w:rPr>
      <w:rFonts w:ascii="Calibri" w:hAnsi="Calibri" w:eastAsia="Calibri" w:cs="Calibri"/>
      <w:i/>
      <w:iCs/>
      <w:color w:val="4F81BD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000000" w:themeColor="tex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000000" w:themeColor="tex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000000" w:themeColor="tex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F81BD" w:themeColor="accen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F81BD" w:themeColor="accen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F81BD" w:themeColor="accen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C0504D" w:themeColor="accent2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C0504D" w:themeColor="accent2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9BBB59" w:themeColor="accent3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9BBB59" w:themeColor="accent3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8064A2" w:themeColor="accent4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8064A2" w:themeColor="accent4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BACC6" w:themeColor="accent5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BACC6" w:themeColor="accent5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79646" w:themeColor="accent6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F79646" w:themeColor="accent6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000000" w:themeColor="text1" w:sz="4" w:space="0"/>
          <w:insideV w:val="nil" w:sz="0" w:space="0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C4C74" w:themeColor="accent1" w:sz="4" w:space="0"/>
          <w:insideV w:val="nil" w:sz="0" w:space="0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772C2A" w:themeColor="accent2" w:sz="4" w:space="0"/>
          <w:insideV w:val="nil" w:sz="0" w:space="0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5E7530" w:themeColor="accent3" w:sz="4" w:space="0"/>
          <w:insideV w:val="nil" w:sz="0" w:space="0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4C3B62" w:themeColor="accent4" w:sz="4" w:space="0"/>
          <w:insideV w:val="nil" w:sz="0" w:space="0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76A7C" w:themeColor="accent5" w:sz="4" w:space="0"/>
          <w:insideV w:val="nil" w:sz="0" w:space="0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B65608" w:themeColor="accent6" w:sz="4" w:space="0"/>
          <w:insideV w:val="nil" w:sz="0" w:space="0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dK7S7CVxTf/30Tr7vX8s+sZ3JtQ==">CgMxLjA4AHIhMUFyelZCRHl1RDVpRHY2VTRxQTB5YUVKb0kxM1MzOU5f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LibreOffice/7.6.0.3$Windows_X86_64 LibreOffice_project/69edd8b8ebc41d00b4de3915dc82f8f0fc3b6265</Application>
  <AppVersion>15.0000</AppVersion>
  <Pages>4</Pages>
  <Words>987</Words>
  <Characters>7139</Characters>
  <CharactersWithSpaces>8197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/>
  <dc:language>pl-PL</dc:language>
  <cp:lastModifiedBy/>
  <dcterms:modified xsi:type="dcterms:W3CDTF">2026-09-01T09:50:50Z</dcterms:modified>
  <cp:revision>1</cp:revision>
  <dc:subject/>
  <dc:title/>
</cp:coreProperties>
</file>